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28" w:rsidRPr="00111B69" w:rsidRDefault="00341A28" w:rsidP="00341A28">
      <w:pPr>
        <w:pStyle w:val="Heading6"/>
        <w:spacing w:line="240" w:lineRule="auto"/>
        <w:rPr>
          <w:rFonts w:ascii="Arial" w:hAnsi="Arial"/>
          <w:sz w:val="22"/>
          <w:szCs w:val="22"/>
        </w:rPr>
      </w:pPr>
      <w:r w:rsidRPr="00111B69">
        <w:rPr>
          <w:rFonts w:ascii="Arial" w:hAnsi="Arial"/>
          <w:sz w:val="22"/>
          <w:szCs w:val="22"/>
        </w:rPr>
        <w:t>Οι περί Διευθέτηση Διαφορών που προκύπτουν από παροχή υπηρεσιών των Ασκούντων Δικηγορία (Εξωδικαστηριακές Υποθέσεις)</w:t>
      </w:r>
    </w:p>
    <w:p w:rsidR="00111B69" w:rsidRPr="00111B69" w:rsidRDefault="00341A28" w:rsidP="00111B69">
      <w:pPr>
        <w:pStyle w:val="Heading6"/>
        <w:spacing w:line="480" w:lineRule="auto"/>
        <w:rPr>
          <w:rFonts w:ascii="Arial" w:hAnsi="Arial"/>
          <w:sz w:val="22"/>
          <w:szCs w:val="22"/>
        </w:rPr>
      </w:pPr>
      <w:r w:rsidRPr="00111B69">
        <w:rPr>
          <w:rFonts w:ascii="Arial" w:hAnsi="Arial"/>
          <w:sz w:val="22"/>
          <w:szCs w:val="22"/>
        </w:rPr>
        <w:t xml:space="preserve">Κανονισμοί 2018   </w:t>
      </w:r>
    </w:p>
    <w:p w:rsidR="00341A28" w:rsidRPr="00111B69" w:rsidRDefault="00341A28" w:rsidP="00111B69">
      <w:pPr>
        <w:spacing w:line="480" w:lineRule="auto"/>
        <w:rPr>
          <w:rFonts w:ascii="Arial" w:eastAsia="Times New Roman" w:hAnsi="Arial" w:cs="Arial"/>
          <w:color w:val="000000"/>
          <w:spacing w:val="-2"/>
          <w:lang w:val="el-GR"/>
        </w:rPr>
      </w:pPr>
      <w:r w:rsidRPr="00111B69">
        <w:rPr>
          <w:rFonts w:ascii="Arial" w:eastAsia="Times New Roman" w:hAnsi="Arial" w:cs="Arial"/>
          <w:color w:val="000000"/>
          <w:spacing w:val="-2"/>
          <w:lang w:val="el-GR"/>
        </w:rPr>
        <w:t>(Κανονισμοί δυνάμει του άρθρου 24του περί Δικηγόρων Νόμου)</w:t>
      </w: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1708"/>
      </w:tblGrid>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b/>
                <w:lang w:val="el-GR"/>
              </w:rPr>
            </w:pPr>
            <w:r w:rsidRPr="00DC0B1D">
              <w:rPr>
                <w:rFonts w:ascii="Arial" w:hAnsi="Arial" w:cs="Arial"/>
                <w:b/>
                <w:lang w:val="el-GR"/>
              </w:rPr>
              <w:t>ΚΕΦ.2</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42/1961</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20/1963</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46/1970</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40/1975</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55/1978</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71/1981</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92/1983</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98/1984</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17/1985</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52/1985</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9/1989</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175/1991</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212/1991</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9(Ι)/1993</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56(Ι)/1993</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83(Ι)/1994</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76(Ι)/1995</w:t>
            </w:r>
          </w:p>
        </w:tc>
      </w:tr>
      <w:tr w:rsidR="003A597B" w:rsidTr="00111B69">
        <w:trPr>
          <w:trHeight w:val="27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ΑΝΑΚ.307</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103(Ι)/1996</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79(Ι)/2000</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31(Ι)/2001</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41(Ι)/2002</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180(Ι)/2002</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117(Ι)/2003</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130(Ι)/2003</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199(Ι)/2004</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264(Ι)/2004</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21(Ι)/2005</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65(Ι)/2005</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124(Ι)/2005</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3A597B" w:rsidP="003A597B">
            <w:pPr>
              <w:rPr>
                <w:rFonts w:ascii="Arial" w:hAnsi="Arial" w:cs="Arial"/>
                <w:lang w:val="el-GR"/>
              </w:rPr>
            </w:pPr>
            <w:r w:rsidRPr="00DC0B1D">
              <w:rPr>
                <w:rFonts w:ascii="Arial" w:hAnsi="Arial" w:cs="Arial"/>
                <w:lang w:val="el-GR"/>
              </w:rPr>
              <w:t>158(Ι)/2005</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175(Ι)/2006</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117(Ι)/2007</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103(Ι)/2008</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109(Ι)/2008</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11(Ι)/2009</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130(Ι)/2009</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4(Ι)/2010</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65(Ι)/2010</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14(Ι)/2011</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144(Ι)/2011</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116(Ι)/2012</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18(Ι)/2013</w:t>
            </w:r>
          </w:p>
        </w:tc>
      </w:tr>
      <w:tr w:rsidR="003A597B" w:rsidTr="00111B69">
        <w:trPr>
          <w:trHeight w:val="264"/>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84(Ι)/2014</w:t>
            </w:r>
          </w:p>
        </w:tc>
      </w:tr>
      <w:tr w:rsidR="003A597B" w:rsidTr="00111B69">
        <w:trPr>
          <w:trHeight w:val="157"/>
        </w:trPr>
        <w:tc>
          <w:tcPr>
            <w:tcW w:w="711" w:type="dxa"/>
          </w:tcPr>
          <w:p w:rsidR="003A597B" w:rsidRPr="003A597B" w:rsidRDefault="003A597B" w:rsidP="003A597B">
            <w:pPr>
              <w:pStyle w:val="ListParagraph"/>
              <w:numPr>
                <w:ilvl w:val="0"/>
                <w:numId w:val="2"/>
              </w:numPr>
              <w:rPr>
                <w:lang w:val="el-GR"/>
              </w:rPr>
            </w:pPr>
          </w:p>
        </w:tc>
        <w:tc>
          <w:tcPr>
            <w:tcW w:w="1708" w:type="dxa"/>
          </w:tcPr>
          <w:p w:rsidR="003A597B" w:rsidRPr="00DC0B1D" w:rsidRDefault="00111B69" w:rsidP="003A597B">
            <w:pPr>
              <w:rPr>
                <w:rFonts w:ascii="Arial" w:hAnsi="Arial" w:cs="Arial"/>
                <w:lang w:val="el-GR"/>
              </w:rPr>
            </w:pPr>
            <w:r w:rsidRPr="00DC0B1D">
              <w:rPr>
                <w:rFonts w:ascii="Arial" w:hAnsi="Arial" w:cs="Arial"/>
                <w:lang w:val="el-GR"/>
              </w:rPr>
              <w:t>92(Ι)/2017</w:t>
            </w:r>
          </w:p>
        </w:tc>
      </w:tr>
    </w:tbl>
    <w:p w:rsidR="003A597B" w:rsidRDefault="00DC0B1D" w:rsidP="00DC0B1D">
      <w:pPr>
        <w:jc w:val="center"/>
        <w:rPr>
          <w:rFonts w:ascii="Arial" w:hAnsi="Arial" w:cs="Arial"/>
          <w:b/>
          <w:lang w:val="el-GR"/>
        </w:rPr>
      </w:pPr>
      <w:r w:rsidRPr="00DC0B1D">
        <w:rPr>
          <w:rFonts w:ascii="Arial" w:hAnsi="Arial" w:cs="Arial"/>
          <w:b/>
          <w:lang w:val="el-GR"/>
        </w:rPr>
        <w:lastRenderedPageBreak/>
        <w:t>ΜΕΡΟΣ I ΕIΣΑΓΩΓIΚΕΣ ΔIΑΤΑΞΕIΣ</w:t>
      </w:r>
    </w:p>
    <w:p w:rsidR="00DC0B1D" w:rsidRDefault="00DC0B1D" w:rsidP="00BF63B8">
      <w:pPr>
        <w:jc w:val="both"/>
        <w:rPr>
          <w:rFonts w:ascii="Arial" w:hAnsi="Arial" w:cs="Arial"/>
          <w:lang w:val="el-GR"/>
        </w:rPr>
      </w:pPr>
      <w:r w:rsidRPr="00DC0B1D">
        <w:rPr>
          <w:rFonts w:ascii="Arial" w:hAnsi="Arial" w:cs="Arial"/>
          <w:lang w:val="el-GR"/>
        </w:rPr>
        <w:t>Το Παγκύπριο Δικηγορικό Συμβούλιο, ασκώντας τις εξουσίες που του παρέχονται από το άρθρο 24 του περί Δικηγόρων Νόμου εκδίδει τους ακόλουθους Κανονισμούς οι οποίοι εγκρίθηκαν από την Έκτακτη Γενική Συνέλευση του Παγκύπριου Δικηγορικού Συλλόγου την19η Ιουνίου του 2018.</w:t>
      </w:r>
    </w:p>
    <w:p w:rsidR="00DC0B1D" w:rsidRDefault="00DC0B1D" w:rsidP="00BF63B8">
      <w:pPr>
        <w:pStyle w:val="ListParagraph"/>
        <w:numPr>
          <w:ilvl w:val="0"/>
          <w:numId w:val="3"/>
        </w:numPr>
        <w:jc w:val="both"/>
        <w:rPr>
          <w:rFonts w:ascii="Arial" w:hAnsi="Arial" w:cs="Arial"/>
          <w:lang w:val="el-GR"/>
        </w:rPr>
      </w:pPr>
      <w:r w:rsidRPr="00DC0B1D">
        <w:rPr>
          <w:rFonts w:ascii="Arial" w:hAnsi="Arial" w:cs="Arial"/>
          <w:lang w:val="el-GR"/>
        </w:rPr>
        <w:t>Οι παρόντες Κανονισμοί θ' αναφέρονται ως «Οι περί Διευθέτηση Διαφορών που προκύπτουν από παροχή υπηρεσιών των Ασκούντων Δικηγορία (Εξωδικαστηριακές Υποθέσεις) Κανονισμοί 2018</w:t>
      </w:r>
      <w:r>
        <w:rPr>
          <w:rFonts w:ascii="Arial" w:hAnsi="Arial" w:cs="Arial"/>
          <w:lang w:val="el-GR"/>
        </w:rPr>
        <w:t>»</w:t>
      </w:r>
      <w:r w:rsidRPr="00DC0B1D">
        <w:rPr>
          <w:rFonts w:ascii="Arial" w:hAnsi="Arial" w:cs="Arial"/>
          <w:lang w:val="el-GR"/>
        </w:rPr>
        <w:t xml:space="preserve"> στο εξής Κανονισμοί.  </w:t>
      </w:r>
    </w:p>
    <w:p w:rsidR="00DC0B1D" w:rsidRDefault="00DC0B1D" w:rsidP="00BF63B8">
      <w:pPr>
        <w:pStyle w:val="ListParagraph"/>
        <w:jc w:val="both"/>
        <w:rPr>
          <w:rFonts w:ascii="Arial" w:hAnsi="Arial" w:cs="Arial"/>
          <w:lang w:val="el-GR"/>
        </w:rPr>
      </w:pPr>
    </w:p>
    <w:p w:rsidR="00DC0B1D" w:rsidRDefault="00DC0B1D" w:rsidP="00BF63B8">
      <w:pPr>
        <w:pStyle w:val="ListParagraph"/>
        <w:numPr>
          <w:ilvl w:val="0"/>
          <w:numId w:val="3"/>
        </w:numPr>
        <w:jc w:val="both"/>
        <w:rPr>
          <w:rFonts w:ascii="Arial" w:hAnsi="Arial" w:cs="Arial"/>
          <w:lang w:val="el-GR"/>
        </w:rPr>
      </w:pPr>
      <w:r w:rsidRPr="00DC0B1D">
        <w:rPr>
          <w:rFonts w:ascii="Arial" w:hAnsi="Arial" w:cs="Arial"/>
          <w:lang w:val="el-GR"/>
        </w:rPr>
        <w:t>Στους Κανονισμούς, εκτός εάν από το κείμενοπροκύπτει διαφορετική έννοια.</w:t>
      </w:r>
    </w:p>
    <w:p w:rsidR="00DC0B1D" w:rsidRDefault="00DC0B1D" w:rsidP="00BF63B8">
      <w:pPr>
        <w:pStyle w:val="ListParagraph"/>
        <w:jc w:val="both"/>
        <w:rPr>
          <w:rFonts w:ascii="Arial" w:hAnsi="Arial" w:cs="Arial"/>
          <w:lang w:val="el-GR"/>
        </w:rPr>
      </w:pPr>
    </w:p>
    <w:p w:rsidR="00DC0B1D" w:rsidRDefault="00DC0B1D" w:rsidP="00BF63B8">
      <w:pPr>
        <w:pStyle w:val="ListParagraph"/>
        <w:jc w:val="both"/>
        <w:rPr>
          <w:rFonts w:ascii="Arial" w:hAnsi="Arial" w:cs="Arial"/>
          <w:lang w:val="el-GR"/>
        </w:rPr>
      </w:pPr>
      <w:r w:rsidRPr="00DC0B1D">
        <w:rPr>
          <w:rFonts w:ascii="Arial" w:hAnsi="Arial" w:cs="Arial"/>
          <w:lang w:val="el-GR"/>
        </w:rPr>
        <w:t>«Συμβούλιο» σημαίνει το Διοικητικό Συμβούλιο  του Παγκύπριου Δικηγορικού Συλλόγου όπως αυτό καθορίζεται στον Περί Δικηγόρων Νόμο Κεφ.2 ως έχει τροποποιηθεί μέχρι σήμερα.</w:t>
      </w:r>
    </w:p>
    <w:p w:rsidR="00DC0B1D" w:rsidRDefault="00DC0B1D" w:rsidP="00BF63B8">
      <w:pPr>
        <w:pStyle w:val="ListParagraph"/>
        <w:jc w:val="both"/>
        <w:rPr>
          <w:rFonts w:ascii="Arial" w:hAnsi="Arial" w:cs="Arial"/>
          <w:lang w:val="el-GR"/>
        </w:rPr>
      </w:pPr>
    </w:p>
    <w:p w:rsidR="00DC0B1D" w:rsidRPr="001301E3" w:rsidRDefault="00DC0B1D" w:rsidP="00BF63B8">
      <w:pPr>
        <w:pStyle w:val="ListParagraph"/>
        <w:numPr>
          <w:ilvl w:val="0"/>
          <w:numId w:val="3"/>
        </w:numPr>
        <w:jc w:val="both"/>
        <w:rPr>
          <w:rFonts w:ascii="Arial" w:hAnsi="Arial" w:cs="Arial"/>
          <w:i/>
          <w:lang w:val="el-GR"/>
        </w:rPr>
      </w:pPr>
      <w:r w:rsidRPr="00DC0B1D">
        <w:rPr>
          <w:rFonts w:ascii="Arial" w:hAnsi="Arial" w:cs="Arial"/>
          <w:lang w:val="el-GR"/>
        </w:rPr>
        <w:t xml:space="preserve">Οι Κανονισμοί εφαρμόζονται μόνο για παροχή υπηρεσιών από δικηγόρους, για την αμοιβή των οποίων δεν υπάρχει καμιά πρόνοια σε οποιουσδήποτε Διαδικαστικούς Κανονισμούς που εκδόθηκαν από το Ανώτατο Δικαστήριο και </w:t>
      </w:r>
      <w:r w:rsidRPr="001301E3">
        <w:rPr>
          <w:rFonts w:ascii="Arial" w:hAnsi="Arial" w:cs="Arial"/>
          <w:i/>
          <w:u w:val="single"/>
          <w:lang w:val="el-GR"/>
        </w:rPr>
        <w:t>περιλαμβάνει Αστικές και Ποινικές διαδικασίες.</w:t>
      </w:r>
    </w:p>
    <w:p w:rsidR="00DC0B1D" w:rsidRPr="00DC0B1D" w:rsidRDefault="00DC0B1D" w:rsidP="00BF63B8">
      <w:pPr>
        <w:pStyle w:val="ListParagraph"/>
        <w:jc w:val="both"/>
        <w:rPr>
          <w:rFonts w:ascii="Arial" w:hAnsi="Arial" w:cs="Arial"/>
          <w:lang w:val="el-GR"/>
        </w:rPr>
      </w:pPr>
    </w:p>
    <w:p w:rsidR="00DC0B1D" w:rsidRDefault="00DC0B1D" w:rsidP="00BF63B8">
      <w:pPr>
        <w:pStyle w:val="ListParagraph"/>
        <w:numPr>
          <w:ilvl w:val="0"/>
          <w:numId w:val="3"/>
        </w:numPr>
        <w:jc w:val="both"/>
        <w:rPr>
          <w:rFonts w:ascii="Arial" w:hAnsi="Arial" w:cs="Arial"/>
          <w:lang w:val="el-GR"/>
        </w:rPr>
      </w:pPr>
      <w:r w:rsidRPr="00DC0B1D">
        <w:rPr>
          <w:rFonts w:ascii="Arial" w:hAnsi="Arial" w:cs="Arial"/>
          <w:lang w:val="el-GR"/>
        </w:rPr>
        <w:t>Ο δικηγόρος αμείβεται ανάλογα με την υπηρεσία που παρέχει αλλ' υποχρεούται, λαμβανομένων υπ' όψιν των εξαιρέσεων του Κανονισμού 5, όπως αξιώνει αμοιβή για την υπηρεσία που παρέχεται από αυτόν όπως αυτή καθορίζεται από τους Κανονισμούς.</w:t>
      </w:r>
    </w:p>
    <w:p w:rsidR="00BF63B8" w:rsidRPr="00BF63B8" w:rsidRDefault="00BF63B8" w:rsidP="00BF63B8">
      <w:pPr>
        <w:pStyle w:val="ListParagraph"/>
        <w:jc w:val="both"/>
        <w:rPr>
          <w:rFonts w:ascii="Arial" w:hAnsi="Arial" w:cs="Arial"/>
          <w:lang w:val="el-GR"/>
        </w:rPr>
      </w:pPr>
    </w:p>
    <w:p w:rsid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(1) Ο δικηγόρος απαλλάσσεται από την υποχρέωση αξίωσης αμοιβής όπως προβλέπεται στους Κανονισμούς εάν συντρέχει οποιαδήποτε από τις ακόλουθες περιπτώσεις:</w:t>
      </w:r>
    </w:p>
    <w:p w:rsidR="00BF63B8" w:rsidRPr="00BF63B8" w:rsidRDefault="00BF63B8" w:rsidP="00BF63B8">
      <w:pPr>
        <w:pStyle w:val="ListParagrap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(α) υπογραφή από τον πελάτη Τύπου Διορισμού Δικηγόρου  για συγκεκριμένη χρονική περίοδο,  ο οποίος θα πρέπει να περιλαμβάνει τις πρόνοιες του Παραρτήματος Ι</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(β) εάν πελάτης και δικηγόρος είναι σύζυγοι ή συνδέονται με συγγένεια μέχρι και του τρίτου βαθμού ή είναι συνάδελφοι δικηγόροι.</w:t>
      </w:r>
    </w:p>
    <w:p w:rsidR="00BF63B8" w:rsidRPr="00BF63B8" w:rsidRDefault="00BF63B8" w:rsidP="00BF63B8">
      <w:pPr>
        <w:pStyle w:val="ListParagraph"/>
        <w:jc w:val="both"/>
        <w:rPr>
          <w:rFonts w:ascii="Arial" w:hAnsi="Arial" w:cs="Arial"/>
          <w:lang w:val="el-GR"/>
        </w:rPr>
      </w:pPr>
    </w:p>
    <w:p w:rsidR="00BF63B8" w:rsidRDefault="00BF63B8" w:rsidP="00BF63B8">
      <w:pPr>
        <w:pStyle w:val="ListParagraph"/>
        <w:jc w:val="both"/>
        <w:rPr>
          <w:rFonts w:ascii="Arial" w:hAnsi="Arial" w:cs="Arial"/>
          <w:lang w:val="el-GR"/>
        </w:rPr>
      </w:pPr>
      <w:r w:rsidRPr="00BF63B8">
        <w:rPr>
          <w:rFonts w:ascii="Arial" w:hAnsi="Arial" w:cs="Arial"/>
          <w:lang w:val="el-GR"/>
        </w:rPr>
        <w:t>(2)    Σε περίπτωση αποδεδειγμένης πενίας του πελάτη του ο δικηγόρος απαλλάσσεται της υποχρέωσης αξίωσης οιασδήποτε αμοιβής.</w:t>
      </w:r>
    </w:p>
    <w:p w:rsidR="00BF63B8" w:rsidRPr="00BF63B8" w:rsidRDefault="00BF63B8" w:rsidP="00BF63B8">
      <w:pPr>
        <w:pStyle w:val="ListParagraph"/>
        <w:rPr>
          <w:rFonts w:ascii="Arial" w:hAnsi="Arial" w:cs="Arial"/>
          <w:lang w:val="el-GR"/>
        </w:rPr>
      </w:pPr>
    </w:p>
    <w:p w:rsid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Ο δικηγόρος οφείλει ν' αποφεύγει την παροχή συμβουλών τηλεφωνικώς εξαιρουμένης περιπτώσεως υποθέσεων επείγουσας ή ιδιάζουσας φύσης.</w:t>
      </w:r>
    </w:p>
    <w:p w:rsidR="00BF63B8" w:rsidRDefault="00BF63B8" w:rsidP="00BF63B8">
      <w:pPr>
        <w:pStyle w:val="ListParagraph"/>
        <w:jc w:val="both"/>
        <w:rPr>
          <w:rFonts w:ascii="Arial" w:hAnsi="Arial" w:cs="Arial"/>
          <w:lang w:val="el-GR"/>
        </w:rPr>
      </w:pPr>
    </w:p>
    <w:p w:rsid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Ο δικηγόρος οφείλει να πληροφορεί εκ των προτέρων τονπελάτη του για τον τρόπο καθορισμού της αμοιβής του, ιδιαίτερα όταν πρόκειται για υπολογισμό αυτής επί ωριαίας βάσεως.</w:t>
      </w:r>
    </w:p>
    <w:p w:rsidR="00BF63B8" w:rsidRPr="00BF63B8" w:rsidRDefault="00BF63B8" w:rsidP="00BF63B8">
      <w:pPr>
        <w:pStyle w:val="ListParagraph"/>
        <w:jc w:val="both"/>
        <w:rPr>
          <w:rFonts w:ascii="Arial" w:hAnsi="Arial" w:cs="Arial"/>
          <w:lang w:val="el-GR"/>
        </w:rPr>
      </w:pPr>
    </w:p>
    <w:p w:rsid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Ο δικηγόρος οφείλει να παραδίδει στον πελάτη του λογαριασμό για την αμοιβή του μέσα σε εύλογο κάθε φορά χρονικό διάστημα και εν πάση περιπτώσει το αργότερο μέσα σε ένα μήνα από την στιγμή που θα του  ζητηθεί αυτό από τον πελάτη του.</w:t>
      </w:r>
    </w:p>
    <w:p w:rsidR="00BF63B8" w:rsidRPr="00BF63B8" w:rsidRDefault="00BF63B8" w:rsidP="00BF63B8">
      <w:pPr>
        <w:pStyle w:val="ListParagraph"/>
        <w:jc w:val="both"/>
        <w:rPr>
          <w:rFonts w:ascii="Arial" w:hAnsi="Arial" w:cs="Arial"/>
          <w:lang w:val="el-GR"/>
        </w:rPr>
      </w:pPr>
    </w:p>
    <w:p w:rsid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Παράβαση των ανωτέρω Κανονισμών συνιστά πειθαρχικό παράπτωμα.</w:t>
      </w:r>
    </w:p>
    <w:p w:rsidR="00BF63B8" w:rsidRPr="00BF63B8" w:rsidRDefault="00BF63B8" w:rsidP="00BF63B8">
      <w:pPr>
        <w:pStyle w:val="ListParagraph"/>
        <w:rPr>
          <w:rFonts w:ascii="Arial" w:hAnsi="Arial" w:cs="Arial"/>
          <w:lang w:val="el-GR"/>
        </w:rPr>
      </w:pPr>
    </w:p>
    <w:p w:rsidR="00BF63B8" w:rsidRDefault="00BF63B8" w:rsidP="00BF63B8">
      <w:pPr>
        <w:pStyle w:val="ListParagraph"/>
        <w:numPr>
          <w:ilvl w:val="0"/>
          <w:numId w:val="3"/>
        </w:numPr>
        <w:rPr>
          <w:rFonts w:ascii="Arial" w:hAnsi="Arial" w:cs="Arial"/>
          <w:lang w:val="el-GR"/>
        </w:rPr>
      </w:pPr>
      <w:r w:rsidRPr="00BF63B8">
        <w:rPr>
          <w:rFonts w:ascii="Arial" w:hAnsi="Arial" w:cs="Arial"/>
          <w:lang w:val="el-GR"/>
        </w:rPr>
        <w:lastRenderedPageBreak/>
        <w:t>Η εύλογη αμοιβή δικηγόρου για εξωδικαστηριακή υπόθεση καθορίζεται με βάση τα κριτήρια του Κανονισμού 11 ως ακολούθως:</w:t>
      </w:r>
    </w:p>
    <w:p w:rsidR="00BF63B8" w:rsidRPr="00BF63B8" w:rsidRDefault="00BF63B8" w:rsidP="00BF63B8">
      <w:pPr>
        <w:pStyle w:val="ListParagrap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(α)   το πολύπλοκο της υπόθεσης·</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(β) τα νομικά σημεία τα οποία εγείρονται ιδιαίτερα εάν αυτά είναι νεοφανή (novelpoints)·</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(γ) την πείρα και εξειδικευμένη γνώση του δικηγόρου και την εργασία και ευθύνη η οποία απαιτείται από αυτόν·</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(δ) τον αριθμό, όγκο και σπουδαιότητα των εγγράφων τα οποία ο δικηγόρος πρέπει να συντάξει ή να μελετήσει.</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(ε) τον τόπο όπου διεξάγεται η εργασία ή παρέχονται οι υπηρεσίες του.</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στ) το χρόνο τον οποίο ο δικηγόρος θα αναλώσει για την διεκπεραίωση της υπόθεσης.</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(ζ)τις περιστάσεις υπό τις οποίες διεξάγεται η  υπόθεση·</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(η) τη φύση, την αξία και την σπουδαιότητα του αντικειμένου της υπόθεσης·</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(θ) τη σημασία της υπόθεσης και του αποτελέσματος της για τον πελάτη.</w:t>
      </w:r>
    </w:p>
    <w:p w:rsidR="00BF63B8" w:rsidRPr="00BF63B8" w:rsidRDefault="00BF63B8" w:rsidP="00BF63B8">
      <w:pPr>
        <w:pStyle w:val="ListParagraph"/>
        <w:jc w:val="both"/>
        <w:rPr>
          <w:rFonts w:ascii="Arial" w:hAnsi="Arial" w:cs="Arial"/>
          <w:lang w:val="el-GR"/>
        </w:rPr>
      </w:pPr>
    </w:p>
    <w:p w:rsidR="00A52E3A" w:rsidRDefault="00BF63B8" w:rsidP="00BF63B8">
      <w:pPr>
        <w:pStyle w:val="ListParagraph"/>
        <w:jc w:val="both"/>
        <w:rPr>
          <w:rFonts w:ascii="Arial" w:hAnsi="Arial" w:cs="Arial"/>
          <w:lang w:val="el-GR"/>
        </w:rPr>
      </w:pPr>
      <w:r w:rsidRPr="00BF63B8">
        <w:rPr>
          <w:rFonts w:ascii="Arial" w:hAnsi="Arial" w:cs="Arial"/>
          <w:lang w:val="el-GR"/>
        </w:rPr>
        <w:t>(ι) το επείγον της υπόθεσης και τα χρονικά περιθώρια τα οποία παρέχονται στο δικηγόρο προς διεκπεραίωση της υπόθεσης.</w:t>
      </w:r>
    </w:p>
    <w:p w:rsidR="00A52E3A" w:rsidRDefault="00A52E3A" w:rsidP="00BF63B8">
      <w:pPr>
        <w:pStyle w:val="ListParagraph"/>
        <w:jc w:val="both"/>
        <w:rPr>
          <w:rFonts w:ascii="Arial" w:hAnsi="Arial" w:cs="Arial"/>
          <w:lang w:val="el-GR"/>
        </w:rPr>
      </w:pPr>
    </w:p>
    <w:p w:rsidR="00BF63B8" w:rsidRDefault="00A52E3A" w:rsidP="00A52E3A">
      <w:pPr>
        <w:pStyle w:val="ListParagraph"/>
        <w:numPr>
          <w:ilvl w:val="0"/>
          <w:numId w:val="3"/>
        </w:numPr>
        <w:jc w:val="both"/>
        <w:rPr>
          <w:rFonts w:ascii="Arial" w:hAnsi="Arial" w:cs="Arial"/>
          <w:lang w:val="el-GR"/>
        </w:rPr>
      </w:pPr>
      <w:r>
        <w:rPr>
          <w:rFonts w:ascii="Arial" w:hAnsi="Arial" w:cs="Arial"/>
          <w:lang w:val="el-GR"/>
        </w:rPr>
        <w:t xml:space="preserve">(1) </w:t>
      </w:r>
      <w:r w:rsidR="00BF63B8" w:rsidRPr="00BF63B8">
        <w:rPr>
          <w:rFonts w:ascii="Arial" w:hAnsi="Arial" w:cs="Arial"/>
          <w:lang w:val="el-GR"/>
        </w:rPr>
        <w:t>Κάθε δικηγόρος δύναται να ζητήσει πιστοποίηση της αμοιβής του από το Παγκύπριο Δικηγορικό Συμβούλιο.</w:t>
      </w:r>
    </w:p>
    <w:p w:rsidR="00BF63B8" w:rsidRDefault="00BF63B8" w:rsidP="00BF63B8">
      <w:pPr>
        <w:pStyle w:val="ListParagraph"/>
        <w:jc w:val="both"/>
        <w:rPr>
          <w:rFonts w:ascii="Arial" w:hAnsi="Arial" w:cs="Arial"/>
          <w:lang w:val="el-GR"/>
        </w:rPr>
      </w:pPr>
    </w:p>
    <w:p w:rsidR="00BF63B8" w:rsidRDefault="00BF63B8" w:rsidP="00BF63B8">
      <w:pPr>
        <w:pStyle w:val="ListParagraph"/>
        <w:jc w:val="both"/>
        <w:rPr>
          <w:rFonts w:ascii="Arial" w:hAnsi="Arial" w:cs="Arial"/>
          <w:lang w:val="el-GR"/>
        </w:rPr>
      </w:pPr>
      <w:r w:rsidRPr="00BF63B8">
        <w:rPr>
          <w:rFonts w:ascii="Arial" w:hAnsi="Arial" w:cs="Arial"/>
          <w:lang w:val="el-GR"/>
        </w:rPr>
        <w:t>(2) Για την εξασφάλιση της αναφερόμενης στην παράγραφο (1) πιστοποίησης ο Δικηγόρος πρέπει να παραδώσει στον Γραμματέα του Συμβουλίου τα κάτωθι έγγραφα:</w:t>
      </w:r>
    </w:p>
    <w:p w:rsidR="00BF63B8" w:rsidRPr="00BF63B8" w:rsidRDefault="00BF63B8" w:rsidP="00BF63B8">
      <w:pPr>
        <w:pStyle w:val="ListParagraph"/>
        <w:jc w:val="both"/>
        <w:rPr>
          <w:rFonts w:ascii="Arial" w:hAnsi="Arial" w:cs="Arial"/>
          <w:lang w:val="el-GR"/>
        </w:rPr>
      </w:pPr>
    </w:p>
    <w:p w:rsidR="00BF63B8" w:rsidRDefault="00BF63B8" w:rsidP="00BF63B8">
      <w:pPr>
        <w:pStyle w:val="ListParagraph"/>
        <w:jc w:val="both"/>
        <w:rPr>
          <w:rFonts w:ascii="Arial" w:hAnsi="Arial" w:cs="Arial"/>
          <w:lang w:val="el-GR"/>
        </w:rPr>
      </w:pPr>
      <w:r w:rsidRPr="00BF63B8">
        <w:rPr>
          <w:rFonts w:ascii="Arial" w:hAnsi="Arial" w:cs="Arial"/>
          <w:lang w:val="el-GR"/>
        </w:rPr>
        <w:t>(α)  Τύπο Διορισμού Δικηγόρου, εάν υπογράφηκε τέτοιος, όπως  προβλέπεται, και</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jc w:val="both"/>
        <w:rPr>
          <w:rFonts w:ascii="Arial" w:hAnsi="Arial" w:cs="Arial"/>
          <w:lang w:val="el-GR"/>
        </w:rPr>
      </w:pPr>
      <w:r w:rsidRPr="00BF63B8">
        <w:rPr>
          <w:rFonts w:ascii="Arial" w:hAnsi="Arial" w:cs="Arial"/>
          <w:lang w:val="el-GR"/>
        </w:rPr>
        <w:t>(β) λεπτομερή κατάλογο υπηρεσιών για τις οποίες ζητείται η πιστοποίηση της αμοιβής.</w:t>
      </w:r>
    </w:p>
    <w:p w:rsidR="00BF63B8" w:rsidRPr="00BF63B8" w:rsidRDefault="00BF63B8" w:rsidP="00BF63B8">
      <w:pPr>
        <w:pStyle w:val="ListParagraph"/>
        <w:jc w:val="both"/>
        <w:rPr>
          <w:rFonts w:ascii="Arial" w:hAnsi="Arial" w:cs="Arial"/>
          <w:lang w:val="el-GR"/>
        </w:rPr>
      </w:pPr>
    </w:p>
    <w:p w:rsid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Το Παγκύπριο Δικηγορικό Συμβούλιο οφείλει όπως απαντήσει στην αξίωση του δικηγόρου για πιστοποίηση της αμοιβής του το αργότερο εντός σαράντα πέντε ημερών από της παράδοσης τους, όπως αναφέρεται στον προηγούμενο κανονισμό, αναγκαίων εγγράφων.</w:t>
      </w:r>
    </w:p>
    <w:p w:rsidR="00BF63B8" w:rsidRDefault="00BF63B8" w:rsidP="00BF63B8">
      <w:pPr>
        <w:pStyle w:val="ListParagraph"/>
        <w:jc w:val="both"/>
        <w:rPr>
          <w:rFonts w:ascii="Arial" w:hAnsi="Arial" w:cs="Arial"/>
          <w:lang w:val="el-GR"/>
        </w:rPr>
      </w:pPr>
    </w:p>
    <w:p w:rsidR="00BF63B8" w:rsidRP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(1)Για σκοπούς διευκόλυνσης της εφαρμογής των Κανονισμών ιδρύεται            Επιτροπή Επίλυσης διαφορών που προκύπτουν από παροχή υπηρεσιών των Ασκούντων Δικηγορία (Εξωδικαστηριακές Υποθέσεις) .</w:t>
      </w:r>
    </w:p>
    <w:p w:rsidR="00BF63B8" w:rsidRPr="00BF63B8" w:rsidRDefault="00BF63B8" w:rsidP="00BF63B8">
      <w:pPr>
        <w:pStyle w:val="ListParagraph"/>
        <w:jc w:val="both"/>
        <w:rPr>
          <w:rFonts w:ascii="Arial" w:hAnsi="Arial" w:cs="Arial"/>
          <w:lang w:val="el-GR"/>
        </w:rPr>
      </w:pPr>
    </w:p>
    <w:p w:rsidR="00BF63B8" w:rsidRPr="00BF63B8" w:rsidRDefault="00BF63B8" w:rsidP="00BF63B8">
      <w:pPr>
        <w:pStyle w:val="ListParagraph"/>
        <w:numPr>
          <w:ilvl w:val="0"/>
          <w:numId w:val="4"/>
        </w:numPr>
        <w:jc w:val="both"/>
        <w:rPr>
          <w:rFonts w:ascii="Arial" w:hAnsi="Arial" w:cs="Arial"/>
          <w:lang w:val="el-GR"/>
        </w:rPr>
      </w:pPr>
      <w:r w:rsidRPr="00BF63B8">
        <w:rPr>
          <w:rFonts w:ascii="Arial" w:hAnsi="Arial" w:cs="Arial"/>
          <w:lang w:val="el-GR"/>
        </w:rPr>
        <w:t>Η πιο πάνω Επιτροπή αποτελείται από τρείς δικηγόρους, οι δυο από τους οποίους πρέπει να έχουν συμπληρώσει τουλάχιστον δεκαπενταετή άσκηση του επαγγέλ-ματος.</w:t>
      </w:r>
    </w:p>
    <w:p w:rsidR="00BF63B8" w:rsidRPr="00BF63B8" w:rsidRDefault="00BF63B8" w:rsidP="00BF63B8">
      <w:pPr>
        <w:pStyle w:val="ListParagraph"/>
        <w:ind w:left="1080"/>
        <w:jc w:val="both"/>
        <w:rPr>
          <w:rFonts w:ascii="Arial" w:hAnsi="Arial" w:cs="Arial"/>
          <w:lang w:val="el-GR"/>
        </w:rPr>
      </w:pPr>
    </w:p>
    <w:p w:rsidR="00BF63B8" w:rsidRPr="00BF63B8" w:rsidRDefault="00BF63B8" w:rsidP="00BF63B8">
      <w:pPr>
        <w:pStyle w:val="ListParagraph"/>
        <w:numPr>
          <w:ilvl w:val="0"/>
          <w:numId w:val="4"/>
        </w:numPr>
        <w:jc w:val="both"/>
        <w:rPr>
          <w:rFonts w:ascii="Arial" w:hAnsi="Arial" w:cs="Arial"/>
          <w:lang w:val="el-GR"/>
        </w:rPr>
      </w:pPr>
      <w:r w:rsidRPr="00BF63B8">
        <w:rPr>
          <w:rFonts w:ascii="Arial" w:hAnsi="Arial" w:cs="Arial"/>
          <w:lang w:val="el-GR"/>
        </w:rPr>
        <w:lastRenderedPageBreak/>
        <w:t>Για σκοπούς περαιτέρω διευκόλυνσης και επιτάχυνσης των Κανονισμών το Συμβούλιο δύναται να προχωρήσει στον διορισμό και δεύτερης Επιτροπής.</w:t>
      </w:r>
    </w:p>
    <w:p w:rsidR="00BF63B8" w:rsidRPr="00BF63B8" w:rsidRDefault="00BF63B8" w:rsidP="00BF63B8">
      <w:pPr>
        <w:pStyle w:val="ListParagraph"/>
        <w:ind w:left="1080"/>
        <w:jc w:val="both"/>
        <w:rPr>
          <w:rFonts w:ascii="Arial" w:hAnsi="Arial" w:cs="Arial"/>
          <w:lang w:val="el-GR"/>
        </w:rPr>
      </w:pPr>
    </w:p>
    <w:p w:rsidR="00BF63B8" w:rsidRPr="00BF63B8" w:rsidRDefault="00BF63B8" w:rsidP="00BF63B8">
      <w:pPr>
        <w:pStyle w:val="ListParagraph"/>
        <w:numPr>
          <w:ilvl w:val="0"/>
          <w:numId w:val="4"/>
        </w:numPr>
        <w:jc w:val="both"/>
        <w:rPr>
          <w:rFonts w:ascii="Arial" w:hAnsi="Arial" w:cs="Arial"/>
          <w:lang w:val="el-GR"/>
        </w:rPr>
      </w:pPr>
      <w:r w:rsidRPr="00BF63B8">
        <w:rPr>
          <w:rFonts w:ascii="Arial" w:hAnsi="Arial" w:cs="Arial"/>
          <w:lang w:val="el-GR"/>
        </w:rPr>
        <w:t>Τα μέλη της πιο πάνω Επιτροπής διορίζονται  από το Συμβούλιου του Παγκύπριου Δικηγορικού Συλλόγου για περίοδο θητείας ενός έτους.</w:t>
      </w:r>
    </w:p>
    <w:p w:rsidR="00BF63B8" w:rsidRPr="00BF63B8" w:rsidRDefault="00BF63B8" w:rsidP="00BF63B8">
      <w:pPr>
        <w:pStyle w:val="ListParagraph"/>
        <w:ind w:left="1080"/>
        <w:jc w:val="both"/>
        <w:rPr>
          <w:rFonts w:ascii="Arial" w:hAnsi="Arial" w:cs="Arial"/>
          <w:lang w:val="el-GR"/>
        </w:rPr>
      </w:pPr>
    </w:p>
    <w:p w:rsidR="00BF63B8" w:rsidRPr="00BF63B8" w:rsidRDefault="00BF63B8" w:rsidP="00BF63B8">
      <w:pPr>
        <w:pStyle w:val="ListParagraph"/>
        <w:numPr>
          <w:ilvl w:val="0"/>
          <w:numId w:val="4"/>
        </w:numPr>
        <w:jc w:val="both"/>
        <w:rPr>
          <w:rFonts w:ascii="Arial" w:hAnsi="Arial" w:cs="Arial"/>
          <w:lang w:val="el-GR"/>
        </w:rPr>
      </w:pPr>
      <w:r w:rsidRPr="00BF63B8">
        <w:rPr>
          <w:rFonts w:ascii="Arial" w:hAnsi="Arial" w:cs="Arial"/>
          <w:lang w:val="el-GR"/>
        </w:rPr>
        <w:t xml:space="preserve"> Ο τρόπος λειτουργίας  και η εφαρμοζόμενη διαδικασία ρυθμίζεται από</w:t>
      </w:r>
      <w:r w:rsidR="00A52E3A">
        <w:rPr>
          <w:rFonts w:ascii="Arial" w:hAnsi="Arial" w:cs="Arial"/>
          <w:lang w:val="el-GR"/>
        </w:rPr>
        <w:t xml:space="preserve"> το</w:t>
      </w:r>
      <w:r w:rsidRPr="00BF63B8">
        <w:rPr>
          <w:rFonts w:ascii="Arial" w:hAnsi="Arial" w:cs="Arial"/>
          <w:lang w:val="el-GR"/>
        </w:rPr>
        <w:t xml:space="preserve"> Συμβούλιο .</w:t>
      </w:r>
    </w:p>
    <w:p w:rsidR="00BF63B8" w:rsidRDefault="00BF63B8" w:rsidP="00BF63B8">
      <w:pPr>
        <w:pStyle w:val="ListParagraph"/>
        <w:jc w:val="both"/>
        <w:rPr>
          <w:rFonts w:ascii="Arial" w:hAnsi="Arial" w:cs="Arial"/>
          <w:lang w:val="el-GR"/>
        </w:rPr>
      </w:pPr>
    </w:p>
    <w:p w:rsid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Οι αποφάσεις της Επιτροπής αυτής υπέχουν θέση Διαιτητικών αποφάσεων ή αποφάσεων Διαιτητού και οιοσδήποτε από τους διαδίκους έχει το δικαίωμα να ζητήσει με αίτηση του στο Επαρχιακό Δικαστήριο την εγγραφή τους και επίσης όπως αυτές εκτελεστούν με την προβλεπόμενη διαδικασία και τους τρόπους εκτέλεσης, όπως ισχύει και στις άλλες αποφάσεις των Επαρχιακών Δικαστηρίων.</w:t>
      </w:r>
    </w:p>
    <w:p w:rsidR="00BF63B8" w:rsidRDefault="00BF63B8" w:rsidP="00BF63B8">
      <w:pPr>
        <w:pStyle w:val="ListParagraph"/>
        <w:jc w:val="both"/>
        <w:rPr>
          <w:rFonts w:ascii="Arial" w:hAnsi="Arial" w:cs="Arial"/>
          <w:lang w:val="el-GR"/>
        </w:rPr>
      </w:pPr>
    </w:p>
    <w:p w:rsidR="00BF63B8" w:rsidRDefault="00BF63B8" w:rsidP="00BF63B8">
      <w:pPr>
        <w:pStyle w:val="ListParagraph"/>
        <w:jc w:val="both"/>
        <w:rPr>
          <w:rFonts w:ascii="Arial" w:hAnsi="Arial" w:cs="Arial"/>
          <w:lang w:val="el-GR"/>
        </w:rPr>
      </w:pPr>
      <w:r w:rsidRPr="00BF63B8">
        <w:rPr>
          <w:rFonts w:ascii="Arial" w:hAnsi="Arial" w:cs="Arial"/>
          <w:lang w:val="el-GR"/>
        </w:rPr>
        <w:t>Οι αποφάσεις της Επιτροπής θα είναι τοκοφόρες και η Επιτροπή θα έχει δικαίωμα να διατάξει όπως επιδικασθούν και τόκοι στο ψηφισθέν ποσόν ως ο εκάστοτε ισχύον περί τόκου Νόμος της Δημοκρατίας και όπως ακριβώς οι δικαστικές αποφάσεις.</w:t>
      </w:r>
    </w:p>
    <w:p w:rsidR="00BF63B8" w:rsidRDefault="00BF63B8" w:rsidP="00BF63B8">
      <w:pPr>
        <w:pStyle w:val="ListParagraph"/>
        <w:jc w:val="both"/>
        <w:rPr>
          <w:rFonts w:ascii="Arial" w:hAnsi="Arial" w:cs="Arial"/>
          <w:lang w:val="el-GR"/>
        </w:rPr>
      </w:pPr>
    </w:p>
    <w:p w:rsidR="004E10CB" w:rsidRPr="00A52E3A" w:rsidRDefault="004E10CB" w:rsidP="00A52E3A">
      <w:pPr>
        <w:pStyle w:val="ListParagraph"/>
        <w:numPr>
          <w:ilvl w:val="0"/>
          <w:numId w:val="3"/>
        </w:numPr>
        <w:jc w:val="both"/>
        <w:rPr>
          <w:rFonts w:ascii="Arial" w:hAnsi="Arial" w:cs="Arial"/>
          <w:lang w:val="el-GR"/>
        </w:rPr>
      </w:pPr>
      <w:r w:rsidRPr="00A52E3A">
        <w:rPr>
          <w:rFonts w:ascii="Arial" w:hAnsi="Arial" w:cs="Arial"/>
          <w:lang w:val="el-GR"/>
        </w:rPr>
        <w:t>Η Επιτροπή έχει το δικαίωμα όπως διατάξει οποιονδήποτε από τους διαδίκους να πληρώσει τα έξοδα της ενώπιον της διαδικασίας, καθώς επίσης να επιδικάσει έξοδα για οιονδήποτε περαιτέρω ή επιπλέον εργασία.</w:t>
      </w:r>
    </w:p>
    <w:p w:rsidR="00BF63B8" w:rsidRDefault="00BF63B8" w:rsidP="00BF63B8">
      <w:pPr>
        <w:pStyle w:val="ListParagraph"/>
        <w:jc w:val="both"/>
        <w:rPr>
          <w:rFonts w:ascii="Arial" w:hAnsi="Arial" w:cs="Arial"/>
          <w:lang w:val="el-GR"/>
        </w:rPr>
      </w:pPr>
    </w:p>
    <w:p w:rsidR="00BF63B8" w:rsidRDefault="00BF63B8" w:rsidP="00BF63B8">
      <w:pPr>
        <w:pStyle w:val="ListParagraph"/>
        <w:numPr>
          <w:ilvl w:val="0"/>
          <w:numId w:val="3"/>
        </w:numPr>
        <w:jc w:val="both"/>
        <w:rPr>
          <w:rFonts w:ascii="Arial" w:hAnsi="Arial" w:cs="Arial"/>
          <w:lang w:val="el-GR"/>
        </w:rPr>
      </w:pPr>
      <w:r w:rsidRPr="00BF63B8">
        <w:rPr>
          <w:rFonts w:ascii="Arial" w:hAnsi="Arial" w:cs="Arial"/>
          <w:lang w:val="el-GR"/>
        </w:rPr>
        <w:t>Κάθε πελάτης δικηγόρου αποκτά τα ίδια δικαιώματα και υπόκειται στις ίδιες υποχρεώσεις όπως και ο δικηγόρος του, αναφορικά με την πιστοποίηση οιασδήποτε αμοιβής που έχει καταβληθεί ή θα καταβληθεί από αυτόν στον δικηγόρο του, δυνάμει των παρόντων Κανονισμών.</w:t>
      </w:r>
    </w:p>
    <w:p w:rsidR="004E10CB" w:rsidRDefault="004E10CB" w:rsidP="004E10CB">
      <w:pPr>
        <w:pStyle w:val="ListParagraph"/>
        <w:jc w:val="both"/>
        <w:rPr>
          <w:rFonts w:ascii="Arial" w:hAnsi="Arial" w:cs="Arial"/>
          <w:lang w:val="el-GR"/>
        </w:rPr>
      </w:pPr>
    </w:p>
    <w:p w:rsidR="004E10CB" w:rsidRDefault="004E10CB" w:rsidP="004E10CB">
      <w:pPr>
        <w:pStyle w:val="ListParagraph"/>
        <w:numPr>
          <w:ilvl w:val="0"/>
          <w:numId w:val="3"/>
        </w:numPr>
        <w:jc w:val="both"/>
        <w:rPr>
          <w:rFonts w:ascii="Arial" w:hAnsi="Arial" w:cs="Arial"/>
          <w:lang w:val="el-GR"/>
        </w:rPr>
      </w:pPr>
      <w:r w:rsidRPr="004E10CB">
        <w:rPr>
          <w:rFonts w:ascii="Arial" w:hAnsi="Arial" w:cs="Arial"/>
          <w:lang w:val="el-GR"/>
        </w:rPr>
        <w:t>Οποιοδήποτε έγγραφο το οποίο συντάσσεται από δικηγόρο για   εξωδικαστηριακή υπόθεση  πρέπει να φέρει:</w:t>
      </w:r>
    </w:p>
    <w:p w:rsidR="004E10CB" w:rsidRPr="004E10CB" w:rsidRDefault="004E10CB" w:rsidP="004E10CB">
      <w:pPr>
        <w:pStyle w:val="ListParagraph"/>
        <w:rPr>
          <w:rFonts w:ascii="Arial" w:hAnsi="Arial" w:cs="Arial"/>
          <w:lang w:val="el-GR"/>
        </w:rPr>
      </w:pPr>
    </w:p>
    <w:p w:rsidR="004E10CB" w:rsidRPr="004E10CB" w:rsidRDefault="004E10CB" w:rsidP="004E10CB">
      <w:pPr>
        <w:pStyle w:val="ListParagraph"/>
        <w:jc w:val="both"/>
        <w:rPr>
          <w:rFonts w:ascii="Arial" w:hAnsi="Arial" w:cs="Arial"/>
          <w:lang w:val="el-GR"/>
        </w:rPr>
      </w:pPr>
      <w:r w:rsidRPr="004E10CB">
        <w:rPr>
          <w:rFonts w:ascii="Arial" w:hAnsi="Arial" w:cs="Arial"/>
          <w:lang w:val="el-GR"/>
        </w:rPr>
        <w:t xml:space="preserve">(α) το όνομα του δικηγόρου του δικηγορικού γραφείου όπου ανήκει την διεύθυνση και τα στοιχεία επικοινωνίας του δικηγορικού γραφείου   που το συνέταξε και την υπογραφή του δικηγόρου </w:t>
      </w:r>
    </w:p>
    <w:p w:rsidR="004E10CB" w:rsidRPr="004E10CB" w:rsidRDefault="004E10CB" w:rsidP="004E10CB">
      <w:pPr>
        <w:pStyle w:val="ListParagraph"/>
        <w:jc w:val="both"/>
        <w:rPr>
          <w:rFonts w:ascii="Arial" w:hAnsi="Arial" w:cs="Arial"/>
          <w:lang w:val="el-GR"/>
        </w:rPr>
      </w:pPr>
    </w:p>
    <w:p w:rsidR="004E10CB" w:rsidRPr="00BF63B8" w:rsidRDefault="004E10CB" w:rsidP="004E10CB">
      <w:pPr>
        <w:pStyle w:val="ListParagraph"/>
        <w:jc w:val="both"/>
        <w:rPr>
          <w:rFonts w:ascii="Arial" w:hAnsi="Arial" w:cs="Arial"/>
          <w:lang w:val="el-GR"/>
        </w:rPr>
      </w:pPr>
      <w:r w:rsidRPr="004E10CB">
        <w:rPr>
          <w:rFonts w:ascii="Arial" w:hAnsi="Arial" w:cs="Arial"/>
          <w:lang w:val="el-GR"/>
        </w:rPr>
        <w:t>(β) τη σφραγίδα του δικηγορικού Γραφείου.</w:t>
      </w:r>
    </w:p>
    <w:p w:rsidR="00BF63B8" w:rsidRDefault="00BF63B8"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bookmarkStart w:id="0" w:name="_GoBack"/>
      <w:bookmarkEnd w:id="0"/>
    </w:p>
    <w:p w:rsidR="004E10CB" w:rsidRDefault="004E10CB" w:rsidP="004E10CB">
      <w:pPr>
        <w:jc w:val="center"/>
        <w:rPr>
          <w:rFonts w:ascii="Arial" w:hAnsi="Arial" w:cs="Arial"/>
          <w:color w:val="000000"/>
          <w:spacing w:val="-1"/>
          <w:lang w:val="el-GR"/>
        </w:rPr>
      </w:pPr>
    </w:p>
    <w:p w:rsidR="004E10CB" w:rsidRPr="00BB598B" w:rsidRDefault="004E10CB" w:rsidP="004E10CB">
      <w:pPr>
        <w:spacing w:line="240" w:lineRule="auto"/>
        <w:jc w:val="center"/>
        <w:rPr>
          <w:rFonts w:ascii="Arial" w:hAnsi="Arial" w:cs="Arial"/>
          <w:b/>
          <w:bCs/>
          <w:u w:val="single"/>
          <w:lang w:val="el-GR"/>
        </w:rPr>
      </w:pPr>
      <w:r w:rsidRPr="00BB598B">
        <w:rPr>
          <w:rFonts w:ascii="Arial" w:hAnsi="Arial" w:cs="Arial"/>
          <w:b/>
          <w:bCs/>
          <w:u w:val="single"/>
          <w:lang w:val="el-GR"/>
        </w:rPr>
        <w:t>Παράρτημα Ι</w:t>
      </w:r>
    </w:p>
    <w:p w:rsidR="004E10CB" w:rsidRPr="00BB598B" w:rsidRDefault="004E10CB" w:rsidP="004E10CB">
      <w:pPr>
        <w:spacing w:line="240" w:lineRule="auto"/>
        <w:jc w:val="both"/>
        <w:rPr>
          <w:rFonts w:ascii="Arial" w:hAnsi="Arial" w:cs="Arial"/>
          <w:lang w:val="el-GR"/>
        </w:rPr>
      </w:pPr>
    </w:p>
    <w:p w:rsidR="004E10CB" w:rsidRPr="00BB598B" w:rsidRDefault="004E10CB" w:rsidP="004E10CB">
      <w:pPr>
        <w:spacing w:line="240" w:lineRule="auto"/>
        <w:jc w:val="center"/>
        <w:rPr>
          <w:rFonts w:ascii="Arial" w:hAnsi="Arial" w:cs="Arial"/>
          <w:b/>
          <w:u w:val="single"/>
          <w:lang w:val="el-GR"/>
        </w:rPr>
      </w:pPr>
      <w:r w:rsidRPr="00BB598B">
        <w:rPr>
          <w:rFonts w:ascii="Arial" w:hAnsi="Arial" w:cs="Arial"/>
          <w:b/>
          <w:u w:val="single"/>
          <w:lang w:val="el-GR"/>
        </w:rPr>
        <w:t>ΤΥΠΟΣ ΔΙΟΡΙΣΜΟΥ ΔΙΚΗΓΟΡΟΥ</w:t>
      </w:r>
    </w:p>
    <w:p w:rsidR="004E10CB" w:rsidRDefault="004E10CB" w:rsidP="004E10CB">
      <w:pPr>
        <w:jc w:val="center"/>
        <w:rPr>
          <w:rFonts w:ascii="Arial" w:hAnsi="Arial" w:cs="Arial"/>
          <w:b/>
          <w:u w:val="single"/>
          <w:lang w:val="el-GR"/>
        </w:rPr>
      </w:pPr>
      <w:r w:rsidRPr="00BB598B">
        <w:rPr>
          <w:rFonts w:ascii="Arial" w:hAnsi="Arial" w:cs="Arial"/>
          <w:b/>
          <w:u w:val="single"/>
          <w:lang w:val="el-GR"/>
        </w:rPr>
        <w:t>ΓΙΑ ΕΞΩΔΙΚΑΣΤΗΡΙΑΚΗ ΥΠΟΘΕΣΗ</w:t>
      </w:r>
    </w:p>
    <w:p w:rsidR="004E10CB" w:rsidRPr="00BB598B" w:rsidRDefault="004E10CB" w:rsidP="004E10CB">
      <w:pPr>
        <w:jc w:val="center"/>
        <w:rPr>
          <w:rFonts w:ascii="Arial" w:hAnsi="Arial" w:cs="Arial"/>
          <w:b/>
          <w:u w:val="single"/>
          <w:lang w:val="el-GR"/>
        </w:rPr>
      </w:pPr>
    </w:p>
    <w:p w:rsidR="004E10CB" w:rsidRDefault="004E10CB" w:rsidP="00D7014D">
      <w:pPr>
        <w:spacing w:line="360" w:lineRule="auto"/>
        <w:ind w:left="360"/>
        <w:jc w:val="both"/>
        <w:rPr>
          <w:rFonts w:ascii="Arial" w:hAnsi="Arial" w:cs="Arial"/>
          <w:lang w:val="el-GR"/>
        </w:rPr>
      </w:pPr>
      <w:r>
        <w:rPr>
          <w:rFonts w:ascii="Arial" w:hAnsi="Arial" w:cs="Arial"/>
          <w:lang w:val="el-GR"/>
        </w:rPr>
        <w:t>Ημερ. ………………………..</w:t>
      </w:r>
    </w:p>
    <w:p w:rsidR="0022601D" w:rsidRDefault="004E10CB" w:rsidP="0022601D">
      <w:pPr>
        <w:spacing w:line="360" w:lineRule="auto"/>
        <w:ind w:left="360"/>
        <w:jc w:val="both"/>
        <w:rPr>
          <w:rFonts w:ascii="Arial" w:hAnsi="Arial" w:cs="Arial"/>
          <w:lang w:val="el-GR"/>
        </w:rPr>
      </w:pPr>
      <w:r>
        <w:rPr>
          <w:rFonts w:ascii="Arial" w:hAnsi="Arial" w:cs="Arial"/>
          <w:lang w:val="el-GR"/>
        </w:rPr>
        <w:t>Εγώ ο ………………………………………………… από ………………………………</w:t>
      </w:r>
      <w:r w:rsidR="0022601D">
        <w:rPr>
          <w:rFonts w:ascii="Arial" w:hAnsi="Arial" w:cs="Arial"/>
          <w:lang w:val="el-GR"/>
        </w:rPr>
        <w:t>…………………</w:t>
      </w:r>
      <w:r>
        <w:rPr>
          <w:rFonts w:ascii="Arial" w:hAnsi="Arial" w:cs="Arial"/>
          <w:lang w:val="el-GR"/>
        </w:rPr>
        <w:t>……. (διεύθυνση και στοιχεία επικοινωνίας), εξουσιοδοτώ τον Δικηγόρο κ. …………………………………………………….. από το δικηγορικό γραφείο …………………………………………………….. (διεύθυνση και στοιχεία επικοινωνίας) όπως διεκπεραιώσει την υπόθεσή μου η οποία περιγράφεται κατωτέρω και συμφωνώ να καταβάλω σε αυτόν αμοιβή ………………. .</w:t>
      </w:r>
    </w:p>
    <w:p w:rsidR="004E10CB" w:rsidRDefault="004E10CB" w:rsidP="0022601D">
      <w:pPr>
        <w:spacing w:line="360" w:lineRule="auto"/>
        <w:ind w:left="360"/>
        <w:jc w:val="both"/>
        <w:rPr>
          <w:rFonts w:ascii="Arial" w:hAnsi="Arial" w:cs="Arial"/>
          <w:lang w:val="el-GR"/>
        </w:rPr>
      </w:pPr>
      <w:r>
        <w:rPr>
          <w:rFonts w:ascii="Arial" w:hAnsi="Arial" w:cs="Arial"/>
          <w:lang w:val="el-GR"/>
        </w:rPr>
        <w:t>Συμφωνώ όπως το ως άνω ποσό της δικηγορικής αμοιβής καταβληθεί ως ακολούθως</w:t>
      </w:r>
      <w:r w:rsidRPr="004E10CB">
        <w:rPr>
          <w:rFonts w:ascii="Arial" w:hAnsi="Arial" w:cs="Arial"/>
          <w:lang w:val="el-GR"/>
        </w:rPr>
        <w:t>:</w:t>
      </w: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r>
        <w:rPr>
          <w:rFonts w:ascii="Arial" w:hAnsi="Arial" w:cs="Arial"/>
          <w:lang w:val="el-GR"/>
        </w:rPr>
        <w:t>ΠΕΡΙΓΡΑΦΗ ΥΠΟΘΕΣΗΣ</w:t>
      </w: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BF63B8">
      <w:pPr>
        <w:ind w:left="360"/>
        <w:jc w:val="both"/>
        <w:rPr>
          <w:rFonts w:ascii="Arial" w:hAnsi="Arial" w:cs="Arial"/>
          <w:lang w:val="el-GR"/>
        </w:rPr>
      </w:pPr>
    </w:p>
    <w:p w:rsidR="004E10CB" w:rsidRDefault="004E10CB" w:rsidP="004E10CB">
      <w:pPr>
        <w:ind w:left="360"/>
        <w:jc w:val="right"/>
        <w:rPr>
          <w:rFonts w:ascii="Arial" w:hAnsi="Arial" w:cs="Arial"/>
          <w:lang w:val="el-GR"/>
        </w:rPr>
      </w:pPr>
      <w:r>
        <w:rPr>
          <w:rFonts w:ascii="Arial" w:hAnsi="Arial" w:cs="Arial"/>
          <w:lang w:val="el-GR"/>
        </w:rPr>
        <w:t>…………………………..</w:t>
      </w:r>
    </w:p>
    <w:p w:rsidR="004E10CB" w:rsidRPr="004E10CB" w:rsidRDefault="004E10CB" w:rsidP="004E10CB">
      <w:pPr>
        <w:ind w:left="360"/>
        <w:jc w:val="center"/>
        <w:rPr>
          <w:rFonts w:ascii="Arial" w:hAnsi="Arial" w:cs="Arial"/>
          <w:lang w:val="el-GR"/>
        </w:rPr>
      </w:pPr>
      <w:r>
        <w:rPr>
          <w:rFonts w:ascii="Arial" w:hAnsi="Arial" w:cs="Arial"/>
          <w:lang w:val="el-GR"/>
        </w:rPr>
        <w:t xml:space="preserve">                                                                                                          (Υπογραφή)    </w:t>
      </w:r>
    </w:p>
    <w:sectPr w:rsidR="004E10CB" w:rsidRPr="004E10CB" w:rsidSect="00111B69">
      <w:footerReference w:type="default" r:id="rId8"/>
      <w:pgSz w:w="11906" w:h="16838"/>
      <w:pgMar w:top="851"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C2" w:rsidRDefault="00404FC2" w:rsidP="003C013B">
      <w:pPr>
        <w:spacing w:after="0" w:line="240" w:lineRule="auto"/>
      </w:pPr>
      <w:r>
        <w:separator/>
      </w:r>
    </w:p>
  </w:endnote>
  <w:endnote w:type="continuationSeparator" w:id="1">
    <w:p w:rsidR="00404FC2" w:rsidRDefault="00404FC2" w:rsidP="003C0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877082"/>
      <w:docPartObj>
        <w:docPartGallery w:val="Page Numbers (Bottom of Page)"/>
        <w:docPartUnique/>
      </w:docPartObj>
    </w:sdtPr>
    <w:sdtEndPr>
      <w:rPr>
        <w:noProof/>
      </w:rPr>
    </w:sdtEndPr>
    <w:sdtContent>
      <w:p w:rsidR="003C013B" w:rsidRDefault="00A62D45">
        <w:pPr>
          <w:pStyle w:val="Footer"/>
          <w:jc w:val="center"/>
        </w:pPr>
        <w:r>
          <w:fldChar w:fldCharType="begin"/>
        </w:r>
        <w:r w:rsidR="003C013B">
          <w:instrText xml:space="preserve"> PAGE   \* MERGEFORMAT </w:instrText>
        </w:r>
        <w:r>
          <w:fldChar w:fldCharType="separate"/>
        </w:r>
        <w:r w:rsidR="00F32B8A">
          <w:rPr>
            <w:noProof/>
          </w:rPr>
          <w:t>1</w:t>
        </w:r>
        <w:r>
          <w:rPr>
            <w:noProof/>
          </w:rPr>
          <w:fldChar w:fldCharType="end"/>
        </w:r>
      </w:p>
    </w:sdtContent>
  </w:sdt>
  <w:p w:rsidR="003C013B" w:rsidRDefault="003C0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C2" w:rsidRDefault="00404FC2" w:rsidP="003C013B">
      <w:pPr>
        <w:spacing w:after="0" w:line="240" w:lineRule="auto"/>
      </w:pPr>
      <w:r>
        <w:separator/>
      </w:r>
    </w:p>
  </w:footnote>
  <w:footnote w:type="continuationSeparator" w:id="1">
    <w:p w:rsidR="00404FC2" w:rsidRDefault="00404FC2" w:rsidP="003C0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A35"/>
    <w:multiLevelType w:val="hybridMultilevel"/>
    <w:tmpl w:val="6624073A"/>
    <w:lvl w:ilvl="0" w:tplc="788880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B43057"/>
    <w:multiLevelType w:val="hybridMultilevel"/>
    <w:tmpl w:val="79C6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A5AC2"/>
    <w:multiLevelType w:val="hybridMultilevel"/>
    <w:tmpl w:val="DEC01118"/>
    <w:lvl w:ilvl="0" w:tplc="E7041DE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4742BA8"/>
    <w:multiLevelType w:val="hybridMultilevel"/>
    <w:tmpl w:val="DBD4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F341AC"/>
    <w:multiLevelType w:val="hybridMultilevel"/>
    <w:tmpl w:val="8B3E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0C0F"/>
    <w:rsid w:val="00111B69"/>
    <w:rsid w:val="001301E3"/>
    <w:rsid w:val="0022601D"/>
    <w:rsid w:val="00341A28"/>
    <w:rsid w:val="003A597B"/>
    <w:rsid w:val="003C013B"/>
    <w:rsid w:val="00404FC2"/>
    <w:rsid w:val="004E10CB"/>
    <w:rsid w:val="00547F14"/>
    <w:rsid w:val="00860C0F"/>
    <w:rsid w:val="00A52E3A"/>
    <w:rsid w:val="00A62D45"/>
    <w:rsid w:val="00BF63B8"/>
    <w:rsid w:val="00D7014D"/>
    <w:rsid w:val="00DC0B1D"/>
    <w:rsid w:val="00F32B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45"/>
  </w:style>
  <w:style w:type="paragraph" w:styleId="Heading6">
    <w:name w:val="heading 6"/>
    <w:basedOn w:val="Normal"/>
    <w:next w:val="Normal"/>
    <w:link w:val="Heading6Char"/>
    <w:qFormat/>
    <w:rsid w:val="00341A28"/>
    <w:pPr>
      <w:keepNext/>
      <w:widowControl w:val="0"/>
      <w:shd w:val="clear" w:color="auto" w:fill="FFFFFF"/>
      <w:autoSpaceDE w:val="0"/>
      <w:autoSpaceDN w:val="0"/>
      <w:adjustRightInd w:val="0"/>
      <w:spacing w:after="0" w:line="341" w:lineRule="atLeast"/>
      <w:ind w:left="720" w:right="-486"/>
      <w:jc w:val="center"/>
      <w:outlineLvl w:val="5"/>
    </w:pPr>
    <w:rPr>
      <w:rFonts w:ascii="Book Antiqua" w:eastAsia="Times New Roman" w:hAnsi="Book Antiqua" w:cs="Arial"/>
      <w:b/>
      <w:bCs/>
      <w:color w:val="000000"/>
      <w:spacing w:val="5"/>
      <w:sz w:val="24"/>
      <w:szCs w:val="29"/>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41A28"/>
    <w:rPr>
      <w:rFonts w:ascii="Book Antiqua" w:eastAsia="Times New Roman" w:hAnsi="Book Antiqua" w:cs="Arial"/>
      <w:b/>
      <w:bCs/>
      <w:color w:val="000000"/>
      <w:spacing w:val="5"/>
      <w:sz w:val="24"/>
      <w:szCs w:val="29"/>
      <w:u w:val="single"/>
      <w:shd w:val="clear" w:color="auto" w:fill="FFFFFF"/>
      <w:lang w:val="el-GR"/>
    </w:rPr>
  </w:style>
  <w:style w:type="paragraph" w:styleId="ListParagraph">
    <w:name w:val="List Paragraph"/>
    <w:basedOn w:val="Normal"/>
    <w:uiPriority w:val="34"/>
    <w:qFormat/>
    <w:rsid w:val="00341A28"/>
    <w:pPr>
      <w:ind w:left="720"/>
      <w:contextualSpacing/>
    </w:pPr>
  </w:style>
  <w:style w:type="paragraph" w:styleId="Header">
    <w:name w:val="header"/>
    <w:basedOn w:val="Normal"/>
    <w:link w:val="HeaderChar"/>
    <w:uiPriority w:val="99"/>
    <w:unhideWhenUsed/>
    <w:rsid w:val="003C0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13B"/>
  </w:style>
  <w:style w:type="paragraph" w:styleId="Footer">
    <w:name w:val="footer"/>
    <w:basedOn w:val="Normal"/>
    <w:link w:val="FooterChar"/>
    <w:uiPriority w:val="99"/>
    <w:unhideWhenUsed/>
    <w:rsid w:val="003C0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13B"/>
  </w:style>
  <w:style w:type="table" w:styleId="TableGrid">
    <w:name w:val="Table Grid"/>
    <w:basedOn w:val="TableNormal"/>
    <w:uiPriority w:val="39"/>
    <w:rsid w:val="003A5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BD3B-0763-428D-8C95-28B22A63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Cybar4</dc:creator>
  <cp:lastModifiedBy>Christiana</cp:lastModifiedBy>
  <cp:revision>2</cp:revision>
  <dcterms:created xsi:type="dcterms:W3CDTF">2018-06-12T06:46:00Z</dcterms:created>
  <dcterms:modified xsi:type="dcterms:W3CDTF">2018-06-12T06:46:00Z</dcterms:modified>
</cp:coreProperties>
</file>