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B80D" w14:textId="1924D80F" w:rsidR="00F36A3E" w:rsidRPr="00F36A3E" w:rsidRDefault="0067016E" w:rsidP="00F36A3E">
      <w:pPr>
        <w:spacing w:after="0" w:line="240" w:lineRule="auto"/>
        <w:rPr>
          <w:b/>
          <w:color w:val="C00000"/>
          <w:sz w:val="28"/>
        </w:rPr>
      </w:pPr>
      <w:r w:rsidRPr="0067016E">
        <w:rPr>
          <w:b/>
          <w:color w:val="C00000"/>
          <w:sz w:val="28"/>
        </w:rPr>
        <w:t>Overview of the Arbitration Law and Practice in Cyprus</w:t>
      </w:r>
    </w:p>
    <w:p w14:paraId="744998F6" w14:textId="21D2E7C6" w:rsidR="00F36A3E" w:rsidRDefault="00F36A3E" w:rsidP="00F36A3E">
      <w:pPr>
        <w:spacing w:after="0" w:line="240" w:lineRule="auto"/>
      </w:pPr>
    </w:p>
    <w:p w14:paraId="33126A40" w14:textId="77777777" w:rsidR="00F36A3E" w:rsidRDefault="00F36A3E" w:rsidP="00F36A3E">
      <w:pPr>
        <w:spacing w:after="0" w:line="240" w:lineRule="auto"/>
      </w:pPr>
    </w:p>
    <w:p w14:paraId="5B937BDC" w14:textId="77777777" w:rsidR="00F36A3E" w:rsidRPr="00F36A3E" w:rsidRDefault="00F36A3E" w:rsidP="00F36A3E">
      <w:pPr>
        <w:spacing w:after="0" w:line="240" w:lineRule="auto"/>
        <w:rPr>
          <w:b/>
          <w:color w:val="002060"/>
        </w:rPr>
      </w:pPr>
      <w:r w:rsidRPr="00F36A3E">
        <w:rPr>
          <w:b/>
          <w:i/>
          <w:color w:val="002060"/>
        </w:rPr>
        <w:t>Education Provider:</w:t>
      </w:r>
      <w:r w:rsidRPr="00F36A3E">
        <w:rPr>
          <w:b/>
          <w:color w:val="002060"/>
        </w:rPr>
        <w:t xml:space="preserve"> </w:t>
      </w:r>
    </w:p>
    <w:p w14:paraId="5AF11580" w14:textId="193D3128" w:rsidR="00F36A3E" w:rsidRDefault="00F36A3E" w:rsidP="00F36A3E">
      <w:pPr>
        <w:spacing w:after="0" w:line="240" w:lineRule="auto"/>
      </w:pPr>
      <w:r>
        <w:t>European Institute of Management and Finance (EIMF)</w:t>
      </w:r>
    </w:p>
    <w:p w14:paraId="56586009" w14:textId="77777777" w:rsidR="00F36A3E" w:rsidRDefault="00F36A3E" w:rsidP="00F36A3E">
      <w:pPr>
        <w:spacing w:after="0" w:line="240" w:lineRule="auto"/>
        <w:rPr>
          <w:i/>
        </w:rPr>
      </w:pPr>
    </w:p>
    <w:p w14:paraId="60EDAE1B" w14:textId="440386D5" w:rsidR="00F36A3E" w:rsidRPr="00F36A3E" w:rsidRDefault="00F36A3E" w:rsidP="00F36A3E">
      <w:pPr>
        <w:spacing w:after="0" w:line="240" w:lineRule="auto"/>
        <w:rPr>
          <w:b/>
          <w:color w:val="002060"/>
        </w:rPr>
      </w:pPr>
      <w:r w:rsidRPr="00F36A3E">
        <w:rPr>
          <w:b/>
          <w:i/>
          <w:color w:val="002060"/>
        </w:rPr>
        <w:t>Training Location:</w:t>
      </w:r>
      <w:r w:rsidRPr="00F36A3E">
        <w:rPr>
          <w:b/>
          <w:color w:val="002060"/>
        </w:rPr>
        <w:t xml:space="preserve"> </w:t>
      </w:r>
    </w:p>
    <w:p w14:paraId="40004206" w14:textId="4CC29C29" w:rsidR="00F36A3E" w:rsidRDefault="00F36A3E" w:rsidP="00F36A3E">
      <w:pPr>
        <w:spacing w:after="0" w:line="240" w:lineRule="auto"/>
      </w:pPr>
      <w:r>
        <w:t>Nicosia</w:t>
      </w:r>
    </w:p>
    <w:p w14:paraId="36B577D5" w14:textId="77777777" w:rsidR="00F36A3E" w:rsidRDefault="00F36A3E" w:rsidP="00F36A3E">
      <w:pPr>
        <w:spacing w:after="0" w:line="240" w:lineRule="auto"/>
      </w:pPr>
    </w:p>
    <w:p w14:paraId="0300B23E" w14:textId="17691E20" w:rsidR="00F36A3E" w:rsidRPr="00F36A3E" w:rsidRDefault="00F36A3E" w:rsidP="00F36A3E">
      <w:pPr>
        <w:spacing w:after="0" w:line="240" w:lineRule="auto"/>
        <w:rPr>
          <w:b/>
          <w:i/>
          <w:color w:val="002060"/>
        </w:rPr>
      </w:pPr>
      <w:r w:rsidRPr="00F36A3E">
        <w:rPr>
          <w:b/>
          <w:i/>
          <w:color w:val="002060"/>
        </w:rPr>
        <w:t xml:space="preserve">Training Schedule: </w:t>
      </w:r>
    </w:p>
    <w:p w14:paraId="6A4E3EFA" w14:textId="165DE750" w:rsidR="00F36A3E" w:rsidRDefault="0067016E" w:rsidP="00F36A3E">
      <w:pPr>
        <w:spacing w:after="0" w:line="240" w:lineRule="auto"/>
      </w:pPr>
      <w:r>
        <w:t>Thursday</w:t>
      </w:r>
      <w:r w:rsidR="00F36A3E" w:rsidRPr="00F36A3E">
        <w:t xml:space="preserve"> </w:t>
      </w:r>
      <w:r>
        <w:t>28</w:t>
      </w:r>
      <w:r w:rsidR="00F36A3E" w:rsidRPr="00F36A3E">
        <w:t>/02/2019 - 09:00-1</w:t>
      </w:r>
      <w:r>
        <w:t>6</w:t>
      </w:r>
      <w:r w:rsidR="00F36A3E" w:rsidRPr="00F36A3E">
        <w:t>:</w:t>
      </w:r>
      <w:r>
        <w:t>15</w:t>
      </w:r>
    </w:p>
    <w:p w14:paraId="102A3E93" w14:textId="77777777" w:rsidR="00F36A3E" w:rsidRPr="00F36A3E" w:rsidRDefault="00F36A3E" w:rsidP="00F36A3E">
      <w:pPr>
        <w:spacing w:after="0" w:line="240" w:lineRule="auto"/>
      </w:pPr>
    </w:p>
    <w:p w14:paraId="12D7D4B2" w14:textId="77777777" w:rsidR="00F36A3E" w:rsidRDefault="00F36A3E" w:rsidP="00F36A3E">
      <w:pPr>
        <w:spacing w:after="0" w:line="240" w:lineRule="auto"/>
      </w:pPr>
    </w:p>
    <w:p w14:paraId="1F68ACF3" w14:textId="46E431BB" w:rsidR="00F36A3E" w:rsidRDefault="00F36A3E" w:rsidP="00F36A3E">
      <w:pPr>
        <w:spacing w:after="0" w:line="240" w:lineRule="auto"/>
        <w:rPr>
          <w:b/>
        </w:rPr>
      </w:pPr>
      <w:r>
        <w:rPr>
          <w:b/>
        </w:rPr>
        <w:t>Training Overview</w:t>
      </w:r>
    </w:p>
    <w:p w14:paraId="3B54B251" w14:textId="77777777" w:rsidR="0067016E" w:rsidRDefault="0067016E" w:rsidP="00F36A3E">
      <w:pPr>
        <w:spacing w:after="0" w:line="240" w:lineRule="auto"/>
        <w:rPr>
          <w:b/>
        </w:rPr>
      </w:pPr>
    </w:p>
    <w:p w14:paraId="4ED8D67F" w14:textId="77777777" w:rsidR="0067016E" w:rsidRPr="0067016E" w:rsidRDefault="0067016E" w:rsidP="0067016E">
      <w:pPr>
        <w:rPr>
          <w:lang w:eastAsia="en-GB"/>
        </w:rPr>
      </w:pPr>
      <w:r w:rsidRPr="0067016E">
        <w:rPr>
          <w:lang w:eastAsia="en-GB"/>
        </w:rPr>
        <w:t>This seminar represents a one-day race through domestic and international arbitration in Cyprus and its two different statutes covering those subjects. The workshop will cover the basic arbitration and other dispute resolution techniques and the ideas behind the Arbitration Law and the International Commercial Arbitration Law.</w:t>
      </w:r>
    </w:p>
    <w:p w14:paraId="6FA9A465" w14:textId="77777777" w:rsidR="0067016E" w:rsidRPr="0067016E" w:rsidRDefault="0067016E" w:rsidP="0067016E">
      <w:pPr>
        <w:rPr>
          <w:lang w:eastAsia="en-GB"/>
        </w:rPr>
      </w:pPr>
      <w:r w:rsidRPr="0067016E">
        <w:rPr>
          <w:lang w:eastAsia="en-GB"/>
        </w:rPr>
        <w:t> </w:t>
      </w:r>
    </w:p>
    <w:p w14:paraId="5A14A3DC" w14:textId="77777777" w:rsidR="0067016E" w:rsidRPr="0067016E" w:rsidRDefault="0067016E" w:rsidP="0067016E">
      <w:pPr>
        <w:rPr>
          <w:lang w:eastAsia="en-GB"/>
        </w:rPr>
      </w:pPr>
      <w:r w:rsidRPr="0067016E">
        <w:rPr>
          <w:lang w:eastAsia="en-GB"/>
        </w:rPr>
        <w:t>The group will have the opportunity to explore the keys to drafting a competent arbitration clause, look at an overview of the key jurisdictional issues and the extent and timing of court intervention on the subject. Finally, participants will look at issues surrounding the appointment of arbitrators, the law to be applied by them, the procedures and the various ways of challenging and enforcing the arbitrator’s decision.</w:t>
      </w:r>
    </w:p>
    <w:p w14:paraId="64DF21C9" w14:textId="77777777" w:rsidR="0067016E" w:rsidRPr="0067016E" w:rsidRDefault="0067016E" w:rsidP="0067016E">
      <w:pPr>
        <w:rPr>
          <w:lang w:eastAsia="en-GB"/>
        </w:rPr>
      </w:pPr>
      <w:r w:rsidRPr="0067016E">
        <w:rPr>
          <w:lang w:eastAsia="en-GB"/>
        </w:rPr>
        <w:t> </w:t>
      </w:r>
    </w:p>
    <w:p w14:paraId="5F200751" w14:textId="77777777" w:rsidR="0067016E" w:rsidRPr="0067016E" w:rsidRDefault="0067016E" w:rsidP="0067016E">
      <w:pPr>
        <w:rPr>
          <w:lang w:eastAsia="en-GB"/>
        </w:rPr>
      </w:pPr>
      <w:r w:rsidRPr="0067016E">
        <w:rPr>
          <w:lang w:eastAsia="en-GB"/>
        </w:rPr>
        <w:t> </w:t>
      </w:r>
    </w:p>
    <w:p w14:paraId="6AC58C75" w14:textId="77777777" w:rsidR="0067016E" w:rsidRPr="0067016E" w:rsidRDefault="0067016E" w:rsidP="0067016E">
      <w:pPr>
        <w:rPr>
          <w:lang w:eastAsia="en-GB"/>
        </w:rPr>
      </w:pPr>
      <w:r w:rsidRPr="0067016E">
        <w:rPr>
          <w:b/>
          <w:bCs/>
          <w:bdr w:val="none" w:sz="0" w:space="0" w:color="auto" w:frame="1"/>
          <w:lang w:eastAsia="en-GB"/>
        </w:rPr>
        <w:t>Training Objectives</w:t>
      </w:r>
    </w:p>
    <w:p w14:paraId="37AA6322" w14:textId="77777777" w:rsidR="0067016E" w:rsidRPr="0067016E" w:rsidRDefault="0067016E" w:rsidP="0067016E">
      <w:pPr>
        <w:rPr>
          <w:lang w:eastAsia="en-GB"/>
        </w:rPr>
      </w:pPr>
      <w:r w:rsidRPr="0067016E">
        <w:rPr>
          <w:lang w:eastAsia="en-GB"/>
        </w:rPr>
        <w:t> </w:t>
      </w:r>
    </w:p>
    <w:p w14:paraId="1EA9E84B" w14:textId="77777777" w:rsidR="0067016E" w:rsidRPr="0067016E" w:rsidRDefault="0067016E" w:rsidP="0067016E">
      <w:pPr>
        <w:rPr>
          <w:lang w:eastAsia="en-GB"/>
        </w:rPr>
      </w:pPr>
      <w:r w:rsidRPr="0067016E">
        <w:rPr>
          <w:lang w:eastAsia="en-GB"/>
        </w:rPr>
        <w:t>By the end of the programme, participants should be able to:</w:t>
      </w:r>
    </w:p>
    <w:p w14:paraId="77415005"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Find and apply, generally, the law on domestic and international arbitration in Cyprus</w:t>
      </w:r>
    </w:p>
    <w:p w14:paraId="1FA7DAA9"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Understand the roles of different dispute resolution techniques</w:t>
      </w:r>
    </w:p>
    <w:p w14:paraId="057C4F34"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Appreciate the key jurisdictional issues in an arbitration</w:t>
      </w:r>
    </w:p>
    <w:p w14:paraId="0CF72E26"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Apply the IBA guidelines and other rules on bias and know how to use them</w:t>
      </w:r>
    </w:p>
    <w:p w14:paraId="01B21A63"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Understand how arbitration procedures work</w:t>
      </w:r>
    </w:p>
    <w:p w14:paraId="28AAEC62"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Determine the applicable law</w:t>
      </w:r>
    </w:p>
    <w:p w14:paraId="403B29B8"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Have a grasp of the extent and timing of court control over arbitrations in Cyprus</w:t>
      </w:r>
    </w:p>
    <w:p w14:paraId="38BC5894" w14:textId="77777777" w:rsidR="0067016E" w:rsidRPr="0067016E" w:rsidRDefault="0067016E" w:rsidP="0067016E">
      <w:pPr>
        <w:pStyle w:val="ListParagraph"/>
        <w:numPr>
          <w:ilvl w:val="0"/>
          <w:numId w:val="19"/>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Know the basics of how to enforce or obtain recognition of arbitration awards under the New York Convention</w:t>
      </w:r>
    </w:p>
    <w:p w14:paraId="2C9EEC59" w14:textId="77777777" w:rsidR="0067016E" w:rsidRPr="0067016E" w:rsidRDefault="0067016E" w:rsidP="0067016E">
      <w:pPr>
        <w:rPr>
          <w:lang w:eastAsia="en-GB"/>
        </w:rPr>
      </w:pPr>
      <w:r w:rsidRPr="0067016E">
        <w:rPr>
          <w:lang w:eastAsia="en-GB"/>
        </w:rPr>
        <w:t> </w:t>
      </w:r>
    </w:p>
    <w:p w14:paraId="67DDF037" w14:textId="77777777" w:rsidR="0067016E" w:rsidRPr="0067016E" w:rsidRDefault="0067016E" w:rsidP="0067016E">
      <w:pPr>
        <w:rPr>
          <w:lang w:eastAsia="en-GB"/>
        </w:rPr>
      </w:pPr>
      <w:r w:rsidRPr="0067016E">
        <w:rPr>
          <w:lang w:eastAsia="en-GB"/>
        </w:rPr>
        <w:t> </w:t>
      </w:r>
    </w:p>
    <w:p w14:paraId="48555EAC" w14:textId="77777777" w:rsidR="0067016E" w:rsidRPr="0067016E" w:rsidRDefault="0067016E" w:rsidP="0067016E">
      <w:pPr>
        <w:rPr>
          <w:lang w:eastAsia="en-GB"/>
        </w:rPr>
      </w:pPr>
      <w:r w:rsidRPr="0067016E">
        <w:rPr>
          <w:b/>
          <w:bCs/>
          <w:bdr w:val="none" w:sz="0" w:space="0" w:color="auto" w:frame="1"/>
          <w:lang w:eastAsia="en-GB"/>
        </w:rPr>
        <w:t>Training Outline</w:t>
      </w:r>
    </w:p>
    <w:p w14:paraId="0E1DCD85" w14:textId="77777777" w:rsidR="0067016E" w:rsidRPr="0067016E" w:rsidRDefault="0067016E" w:rsidP="0067016E">
      <w:pPr>
        <w:rPr>
          <w:lang w:eastAsia="en-GB"/>
        </w:rPr>
      </w:pPr>
      <w:r w:rsidRPr="0067016E">
        <w:rPr>
          <w:lang w:eastAsia="en-GB"/>
        </w:rPr>
        <w:t> </w:t>
      </w:r>
    </w:p>
    <w:p w14:paraId="28622369" w14:textId="5274E11A" w:rsidR="0067016E" w:rsidRDefault="0067016E" w:rsidP="0067016E">
      <w:pPr>
        <w:rPr>
          <w:i/>
          <w:iCs/>
          <w:bdr w:val="none" w:sz="0" w:space="0" w:color="auto" w:frame="1"/>
          <w:lang w:eastAsia="en-GB"/>
        </w:rPr>
      </w:pPr>
      <w:r w:rsidRPr="0067016E">
        <w:rPr>
          <w:i/>
          <w:iCs/>
          <w:bdr w:val="none" w:sz="0" w:space="0" w:color="auto" w:frame="1"/>
          <w:lang w:eastAsia="en-GB"/>
        </w:rPr>
        <w:lastRenderedPageBreak/>
        <w:t>Dispute resolution techniques</w:t>
      </w:r>
    </w:p>
    <w:p w14:paraId="68EC8A98" w14:textId="77777777" w:rsidR="0067016E" w:rsidRPr="0067016E" w:rsidRDefault="0067016E" w:rsidP="0067016E">
      <w:pPr>
        <w:rPr>
          <w:lang w:eastAsia="en-GB"/>
        </w:rPr>
      </w:pPr>
    </w:p>
    <w:p w14:paraId="57F5408B" w14:textId="77777777" w:rsidR="0067016E" w:rsidRPr="0067016E" w:rsidRDefault="0067016E" w:rsidP="0067016E">
      <w:pPr>
        <w:pStyle w:val="ListParagraph"/>
        <w:numPr>
          <w:ilvl w:val="0"/>
          <w:numId w:val="21"/>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Defining arbitration</w:t>
      </w:r>
    </w:p>
    <w:p w14:paraId="76BA06AF" w14:textId="77777777" w:rsidR="0067016E" w:rsidRPr="0067016E" w:rsidRDefault="0067016E" w:rsidP="0067016E">
      <w:pPr>
        <w:pStyle w:val="ListParagraph"/>
        <w:numPr>
          <w:ilvl w:val="0"/>
          <w:numId w:val="21"/>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Alternatives: Mediation, Mini-trial, Adjudication, Expertise, Dispute Resolution Boards (DRBs)</w:t>
      </w:r>
    </w:p>
    <w:p w14:paraId="599F60E2" w14:textId="77777777" w:rsidR="0067016E" w:rsidRPr="0067016E" w:rsidRDefault="0067016E" w:rsidP="0067016E">
      <w:pPr>
        <w:pStyle w:val="ListParagraph"/>
        <w:numPr>
          <w:ilvl w:val="0"/>
          <w:numId w:val="21"/>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Differences and similarity with litigation</w:t>
      </w:r>
    </w:p>
    <w:p w14:paraId="52549AF0" w14:textId="77777777" w:rsidR="0067016E" w:rsidRPr="0067016E" w:rsidRDefault="0067016E" w:rsidP="0067016E">
      <w:pPr>
        <w:pStyle w:val="ListParagraph"/>
        <w:numPr>
          <w:ilvl w:val="0"/>
          <w:numId w:val="21"/>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Ad hoc and institutional arbitration</w:t>
      </w:r>
    </w:p>
    <w:p w14:paraId="12C8C50D" w14:textId="77777777" w:rsidR="0067016E" w:rsidRPr="0067016E" w:rsidRDefault="0067016E" w:rsidP="0067016E">
      <w:pPr>
        <w:pStyle w:val="ListParagraph"/>
        <w:numPr>
          <w:ilvl w:val="0"/>
          <w:numId w:val="21"/>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Arbitration institutions around the world and in Cyprus</w:t>
      </w:r>
    </w:p>
    <w:p w14:paraId="3B3C51B9" w14:textId="69BA3498" w:rsidR="0067016E" w:rsidRPr="0067016E" w:rsidRDefault="0067016E" w:rsidP="0067016E">
      <w:pPr>
        <w:ind w:left="45"/>
        <w:rPr>
          <w:rFonts w:cstheme="minorHAnsi"/>
          <w:lang w:eastAsia="en-GB"/>
        </w:rPr>
      </w:pPr>
    </w:p>
    <w:p w14:paraId="1418036C" w14:textId="77777777" w:rsidR="0067016E" w:rsidRPr="0067016E" w:rsidRDefault="0067016E" w:rsidP="0067016E">
      <w:pPr>
        <w:rPr>
          <w:lang w:eastAsia="en-GB"/>
        </w:rPr>
      </w:pPr>
      <w:r w:rsidRPr="0067016E">
        <w:rPr>
          <w:i/>
          <w:iCs/>
          <w:bdr w:val="none" w:sz="0" w:space="0" w:color="auto" w:frame="1"/>
          <w:lang w:eastAsia="en-GB"/>
        </w:rPr>
        <w:t>Arbitration law in Cyprus</w:t>
      </w:r>
    </w:p>
    <w:p w14:paraId="7847F835" w14:textId="77777777" w:rsidR="0067016E" w:rsidRPr="0067016E" w:rsidRDefault="0067016E" w:rsidP="0067016E">
      <w:pPr>
        <w:pStyle w:val="ListParagraph"/>
        <w:numPr>
          <w:ilvl w:val="0"/>
          <w:numId w:val="22"/>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Arbitration Law, Chapter 4, as amended (Cap. 4)</w:t>
      </w:r>
    </w:p>
    <w:p w14:paraId="7C0A0F5F" w14:textId="77777777" w:rsidR="0067016E" w:rsidRPr="0067016E" w:rsidRDefault="0067016E" w:rsidP="0067016E">
      <w:pPr>
        <w:pStyle w:val="ListParagraph"/>
        <w:numPr>
          <w:ilvl w:val="0"/>
          <w:numId w:val="22"/>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International Commercial Arbitration Law 101/1987, as amended</w:t>
      </w:r>
    </w:p>
    <w:p w14:paraId="28FCB51C" w14:textId="77777777" w:rsidR="0067016E" w:rsidRPr="0067016E" w:rsidRDefault="0067016E" w:rsidP="0067016E">
      <w:pPr>
        <w:pStyle w:val="ListParagraph"/>
        <w:numPr>
          <w:ilvl w:val="0"/>
          <w:numId w:val="22"/>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Origins in 1889 and 1950 English Acts and the UNCITRAL Model Law</w:t>
      </w:r>
    </w:p>
    <w:p w14:paraId="01BCC7EB" w14:textId="77777777" w:rsidR="0067016E" w:rsidRPr="0067016E" w:rsidRDefault="0067016E" w:rsidP="0067016E">
      <w:pPr>
        <w:pStyle w:val="ListParagraph"/>
        <w:numPr>
          <w:ilvl w:val="0"/>
          <w:numId w:val="22"/>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New York Convention on the Enforcement and Recognition of Arbitration Awards</w:t>
      </w:r>
    </w:p>
    <w:p w14:paraId="424E468E" w14:textId="706CF7DF" w:rsidR="0067016E" w:rsidRPr="0067016E" w:rsidRDefault="0067016E" w:rsidP="0067016E">
      <w:pPr>
        <w:ind w:firstLine="45"/>
        <w:rPr>
          <w:rFonts w:cstheme="minorHAnsi"/>
          <w:lang w:eastAsia="en-GB"/>
        </w:rPr>
      </w:pPr>
    </w:p>
    <w:p w14:paraId="4FF59AAA" w14:textId="77777777" w:rsidR="0067016E" w:rsidRPr="0067016E" w:rsidRDefault="0067016E" w:rsidP="0067016E">
      <w:pPr>
        <w:rPr>
          <w:lang w:eastAsia="en-GB"/>
        </w:rPr>
      </w:pPr>
      <w:r w:rsidRPr="0067016E">
        <w:rPr>
          <w:i/>
          <w:iCs/>
          <w:bdr w:val="none" w:sz="0" w:space="0" w:color="auto" w:frame="1"/>
          <w:lang w:eastAsia="en-GB"/>
        </w:rPr>
        <w:t>Drafting arbitration clauses</w:t>
      </w:r>
    </w:p>
    <w:p w14:paraId="1C3B5DE0"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Standard clauses and key elements</w:t>
      </w:r>
    </w:p>
    <w:p w14:paraId="2C8D265B" w14:textId="77777777" w:rsidR="0067016E" w:rsidRPr="0067016E" w:rsidRDefault="0067016E" w:rsidP="0067016E">
      <w:pPr>
        <w:rPr>
          <w:lang w:eastAsia="en-GB"/>
        </w:rPr>
      </w:pPr>
      <w:r w:rsidRPr="0067016E">
        <w:rPr>
          <w:lang w:eastAsia="en-GB"/>
        </w:rPr>
        <w:t> </w:t>
      </w:r>
    </w:p>
    <w:p w14:paraId="3E052B94" w14:textId="77777777" w:rsidR="0067016E" w:rsidRPr="0067016E" w:rsidRDefault="0067016E" w:rsidP="0067016E">
      <w:pPr>
        <w:rPr>
          <w:lang w:eastAsia="en-GB"/>
        </w:rPr>
      </w:pPr>
      <w:r w:rsidRPr="0067016E">
        <w:rPr>
          <w:i/>
          <w:iCs/>
          <w:bdr w:val="none" w:sz="0" w:space="0" w:color="auto" w:frame="1"/>
          <w:lang w:eastAsia="en-GB"/>
        </w:rPr>
        <w:t>Starting the arbitration</w:t>
      </w:r>
    </w:p>
    <w:p w14:paraId="6765A148"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ICC, LCIA and UNCITRAL Rules and the Cyprus Laws</w:t>
      </w:r>
    </w:p>
    <w:p w14:paraId="40E9432A" w14:textId="37E152F8" w:rsidR="0067016E" w:rsidRPr="0067016E" w:rsidRDefault="0067016E" w:rsidP="0067016E">
      <w:pPr>
        <w:ind w:left="45"/>
        <w:rPr>
          <w:rFonts w:cstheme="minorHAnsi"/>
          <w:lang w:eastAsia="en-GB"/>
        </w:rPr>
      </w:pPr>
    </w:p>
    <w:p w14:paraId="4FC26D56" w14:textId="77777777" w:rsidR="0067016E" w:rsidRPr="0067016E" w:rsidRDefault="0067016E" w:rsidP="0067016E">
      <w:pPr>
        <w:rPr>
          <w:lang w:eastAsia="en-GB"/>
        </w:rPr>
      </w:pPr>
      <w:r w:rsidRPr="0067016E">
        <w:rPr>
          <w:i/>
          <w:iCs/>
          <w:bdr w:val="none" w:sz="0" w:space="0" w:color="auto" w:frame="1"/>
          <w:lang w:eastAsia="en-GB"/>
        </w:rPr>
        <w:t>Jurisdiction issues</w:t>
      </w:r>
    </w:p>
    <w:p w14:paraId="70E9563A"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Written form requirements</w:t>
      </w:r>
    </w:p>
    <w:p w14:paraId="429DF50B"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Parties to the arbitration</w:t>
      </w:r>
    </w:p>
    <w:p w14:paraId="40CE7825"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Separability of the arbitration clause</w:t>
      </w:r>
    </w:p>
    <w:p w14:paraId="4BE3F26A"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Scope of the clause</w:t>
      </w:r>
    </w:p>
    <w:p w14:paraId="02D7B796"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Subject-matter arbitrability</w:t>
      </w:r>
    </w:p>
    <w:p w14:paraId="28AA9843"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EU law issues</w:t>
      </w:r>
    </w:p>
    <w:p w14:paraId="33A0009C"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Competence-competence – who decides on jurisdiction, when and the standards applied</w:t>
      </w:r>
    </w:p>
    <w:p w14:paraId="1C4428FB" w14:textId="77777777" w:rsidR="0067016E" w:rsidRPr="0067016E" w:rsidRDefault="0067016E" w:rsidP="0067016E">
      <w:pPr>
        <w:pStyle w:val="ListParagraph"/>
        <w:numPr>
          <w:ilvl w:val="0"/>
          <w:numId w:val="24"/>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Procedural features of challenging jurisdiction in Cyprus</w:t>
      </w:r>
    </w:p>
    <w:p w14:paraId="7DE4E385" w14:textId="19161A05" w:rsidR="0067016E" w:rsidRPr="0067016E" w:rsidRDefault="0067016E" w:rsidP="0067016E">
      <w:pPr>
        <w:ind w:firstLine="45"/>
        <w:rPr>
          <w:rFonts w:cstheme="minorHAnsi"/>
          <w:lang w:eastAsia="en-GB"/>
        </w:rPr>
      </w:pPr>
    </w:p>
    <w:p w14:paraId="50F96A50" w14:textId="77777777" w:rsidR="0067016E" w:rsidRPr="0067016E" w:rsidRDefault="0067016E" w:rsidP="0067016E">
      <w:pPr>
        <w:rPr>
          <w:lang w:eastAsia="en-GB"/>
        </w:rPr>
      </w:pPr>
      <w:r w:rsidRPr="0067016E">
        <w:rPr>
          <w:i/>
          <w:iCs/>
          <w:bdr w:val="none" w:sz="0" w:space="0" w:color="auto" w:frame="1"/>
          <w:lang w:eastAsia="en-GB"/>
        </w:rPr>
        <w:t>Appointing the arbitrator</w:t>
      </w:r>
    </w:p>
    <w:p w14:paraId="0B7068CA" w14:textId="77777777" w:rsidR="0067016E" w:rsidRPr="0067016E" w:rsidRDefault="0067016E" w:rsidP="0067016E">
      <w:pPr>
        <w:pStyle w:val="ListParagraph"/>
        <w:numPr>
          <w:ilvl w:val="0"/>
          <w:numId w:val="25"/>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IBA Guidelines on Conflicts of Interest</w:t>
      </w:r>
    </w:p>
    <w:p w14:paraId="7270CC2C" w14:textId="77777777" w:rsidR="0067016E" w:rsidRPr="0067016E" w:rsidRDefault="0067016E" w:rsidP="0067016E">
      <w:pPr>
        <w:pStyle w:val="ListParagraph"/>
        <w:numPr>
          <w:ilvl w:val="0"/>
          <w:numId w:val="25"/>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 xml:space="preserve">Who deals with challenges to </w:t>
      </w:r>
      <w:proofErr w:type="gramStart"/>
      <w:r w:rsidRPr="0067016E">
        <w:rPr>
          <w:rFonts w:eastAsia="Times New Roman" w:cstheme="minorHAnsi"/>
          <w:color w:val="000000"/>
          <w:lang w:eastAsia="en-GB"/>
        </w:rPr>
        <w:t>arbitrators</w:t>
      </w:r>
      <w:proofErr w:type="gramEnd"/>
    </w:p>
    <w:p w14:paraId="6C559610" w14:textId="77777777" w:rsidR="0067016E" w:rsidRPr="0067016E" w:rsidRDefault="0067016E" w:rsidP="0067016E">
      <w:pPr>
        <w:pStyle w:val="ListParagraph"/>
        <w:numPr>
          <w:ilvl w:val="0"/>
          <w:numId w:val="25"/>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Handling biased arbitrators in practice</w:t>
      </w:r>
    </w:p>
    <w:p w14:paraId="2A6ADB2D" w14:textId="77777777" w:rsidR="0067016E" w:rsidRPr="0067016E" w:rsidRDefault="0067016E" w:rsidP="0067016E">
      <w:pPr>
        <w:pStyle w:val="ListParagraph"/>
        <w:numPr>
          <w:ilvl w:val="0"/>
          <w:numId w:val="25"/>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Other challenges to arbitrators</w:t>
      </w:r>
    </w:p>
    <w:p w14:paraId="60670E75" w14:textId="33BB0DCB" w:rsidR="0067016E" w:rsidRPr="0067016E" w:rsidRDefault="0067016E" w:rsidP="0067016E">
      <w:pPr>
        <w:ind w:firstLine="45"/>
        <w:rPr>
          <w:rFonts w:cstheme="minorHAnsi"/>
          <w:lang w:eastAsia="en-GB"/>
        </w:rPr>
      </w:pPr>
    </w:p>
    <w:p w14:paraId="6CA298C9" w14:textId="77777777" w:rsidR="0067016E" w:rsidRPr="0067016E" w:rsidRDefault="0067016E" w:rsidP="0067016E">
      <w:pPr>
        <w:rPr>
          <w:lang w:eastAsia="en-GB"/>
        </w:rPr>
      </w:pPr>
      <w:r w:rsidRPr="0067016E">
        <w:rPr>
          <w:bdr w:val="none" w:sz="0" w:space="0" w:color="auto" w:frame="1"/>
          <w:lang w:eastAsia="en-GB"/>
        </w:rPr>
        <w:t xml:space="preserve">The arbitration </w:t>
      </w:r>
      <w:proofErr w:type="gramStart"/>
      <w:r w:rsidRPr="0067016E">
        <w:rPr>
          <w:bdr w:val="none" w:sz="0" w:space="0" w:color="auto" w:frame="1"/>
          <w:lang w:eastAsia="en-GB"/>
        </w:rPr>
        <w:t>process</w:t>
      </w:r>
      <w:proofErr w:type="gramEnd"/>
    </w:p>
    <w:p w14:paraId="34CC41A5" w14:textId="77777777" w:rsidR="0067016E" w:rsidRPr="0067016E" w:rsidRDefault="0067016E" w:rsidP="0067016E">
      <w:pPr>
        <w:pStyle w:val="ListParagraph"/>
        <w:numPr>
          <w:ilvl w:val="0"/>
          <w:numId w:val="26"/>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Procedural requirements and styles – fairness and going beyond the claims</w:t>
      </w:r>
    </w:p>
    <w:p w14:paraId="1AFF1CB4" w14:textId="77777777" w:rsidR="0067016E" w:rsidRPr="0067016E" w:rsidRDefault="0067016E" w:rsidP="0067016E">
      <w:pPr>
        <w:pStyle w:val="ListParagraph"/>
        <w:numPr>
          <w:ilvl w:val="0"/>
          <w:numId w:val="26"/>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Approaches to pleading cases in international arbitration</w:t>
      </w:r>
    </w:p>
    <w:p w14:paraId="47FCDCFD" w14:textId="77777777" w:rsidR="0067016E" w:rsidRPr="0067016E" w:rsidRDefault="0067016E" w:rsidP="0067016E">
      <w:pPr>
        <w:pStyle w:val="ListParagraph"/>
        <w:numPr>
          <w:ilvl w:val="0"/>
          <w:numId w:val="26"/>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The law applicable to the arbitration process and the merits of the dispute</w:t>
      </w:r>
    </w:p>
    <w:p w14:paraId="4AB6A735" w14:textId="77777777" w:rsidR="0067016E" w:rsidRPr="0067016E" w:rsidRDefault="0067016E" w:rsidP="0067016E">
      <w:pPr>
        <w:pStyle w:val="ListParagraph"/>
        <w:numPr>
          <w:ilvl w:val="0"/>
          <w:numId w:val="26"/>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lastRenderedPageBreak/>
        <w:t>Partial and final awards</w:t>
      </w:r>
    </w:p>
    <w:p w14:paraId="5C39792A" w14:textId="77777777" w:rsidR="0067016E" w:rsidRPr="0067016E" w:rsidRDefault="0067016E" w:rsidP="0067016E">
      <w:pPr>
        <w:pStyle w:val="ListParagraph"/>
        <w:numPr>
          <w:ilvl w:val="0"/>
          <w:numId w:val="26"/>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Interest and costs</w:t>
      </w:r>
    </w:p>
    <w:p w14:paraId="23EA2317" w14:textId="77777777" w:rsidR="0067016E" w:rsidRPr="0067016E" w:rsidRDefault="0067016E" w:rsidP="0067016E">
      <w:pPr>
        <w:rPr>
          <w:lang w:eastAsia="en-GB"/>
        </w:rPr>
      </w:pPr>
      <w:r w:rsidRPr="0067016E">
        <w:rPr>
          <w:lang w:eastAsia="en-GB"/>
        </w:rPr>
        <w:t> </w:t>
      </w:r>
    </w:p>
    <w:p w14:paraId="6850F33C" w14:textId="77777777" w:rsidR="0067016E" w:rsidRPr="0067016E" w:rsidRDefault="0067016E" w:rsidP="0067016E">
      <w:pPr>
        <w:rPr>
          <w:lang w:eastAsia="en-GB"/>
        </w:rPr>
      </w:pPr>
      <w:r w:rsidRPr="0067016E">
        <w:rPr>
          <w:i/>
          <w:iCs/>
          <w:bdr w:val="none" w:sz="0" w:space="0" w:color="auto" w:frame="1"/>
          <w:lang w:eastAsia="en-GB"/>
        </w:rPr>
        <w:t>Review of arbitration awards</w:t>
      </w:r>
    </w:p>
    <w:p w14:paraId="04902263" w14:textId="77777777" w:rsidR="0067016E" w:rsidRPr="0067016E" w:rsidRDefault="0067016E" w:rsidP="0067016E">
      <w:pPr>
        <w:pStyle w:val="ListParagraph"/>
        <w:numPr>
          <w:ilvl w:val="0"/>
          <w:numId w:val="27"/>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Review on jurisdiction, procedural matters, public policy and error of law</w:t>
      </w:r>
    </w:p>
    <w:p w14:paraId="2883DE6C" w14:textId="77777777" w:rsidR="0067016E" w:rsidRPr="0067016E" w:rsidRDefault="0067016E" w:rsidP="0067016E">
      <w:pPr>
        <w:pStyle w:val="ListParagraph"/>
        <w:numPr>
          <w:ilvl w:val="0"/>
          <w:numId w:val="27"/>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Setting aside proceedings</w:t>
      </w:r>
    </w:p>
    <w:p w14:paraId="65F8A063" w14:textId="77777777" w:rsidR="0067016E" w:rsidRPr="0067016E" w:rsidRDefault="0067016E" w:rsidP="0067016E">
      <w:pPr>
        <w:pStyle w:val="ListParagraph"/>
        <w:numPr>
          <w:ilvl w:val="0"/>
          <w:numId w:val="27"/>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Enforcement and the New York Convention</w:t>
      </w:r>
    </w:p>
    <w:p w14:paraId="0E2DD6ED" w14:textId="77777777" w:rsidR="0067016E" w:rsidRPr="0067016E" w:rsidRDefault="0067016E" w:rsidP="0067016E">
      <w:pPr>
        <w:pStyle w:val="ListParagraph"/>
        <w:numPr>
          <w:ilvl w:val="0"/>
          <w:numId w:val="27"/>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Other techniques for recovering money</w:t>
      </w:r>
    </w:p>
    <w:p w14:paraId="0F9AF73A" w14:textId="6A6639AF" w:rsidR="0067016E" w:rsidRPr="0067016E" w:rsidRDefault="0067016E" w:rsidP="0067016E">
      <w:pPr>
        <w:ind w:firstLine="45"/>
        <w:rPr>
          <w:rFonts w:cstheme="minorHAnsi"/>
          <w:lang w:eastAsia="en-GB"/>
        </w:rPr>
      </w:pPr>
    </w:p>
    <w:p w14:paraId="470B173B" w14:textId="77777777" w:rsidR="0067016E" w:rsidRPr="0067016E" w:rsidRDefault="0067016E" w:rsidP="0067016E">
      <w:pPr>
        <w:rPr>
          <w:lang w:eastAsia="en-GB"/>
        </w:rPr>
      </w:pPr>
      <w:r w:rsidRPr="0067016E">
        <w:rPr>
          <w:lang w:eastAsia="en-GB"/>
        </w:rPr>
        <w:t> </w:t>
      </w:r>
    </w:p>
    <w:p w14:paraId="0F86FDE4" w14:textId="77777777" w:rsidR="0067016E" w:rsidRPr="0067016E" w:rsidRDefault="0067016E" w:rsidP="0067016E">
      <w:pPr>
        <w:rPr>
          <w:lang w:eastAsia="en-GB"/>
        </w:rPr>
      </w:pPr>
      <w:r w:rsidRPr="0067016E">
        <w:rPr>
          <w:b/>
          <w:bCs/>
          <w:bdr w:val="none" w:sz="0" w:space="0" w:color="auto" w:frame="1"/>
          <w:lang w:eastAsia="en-GB"/>
        </w:rPr>
        <w:t>Training Style</w:t>
      </w:r>
    </w:p>
    <w:p w14:paraId="48C6C3EF" w14:textId="77777777" w:rsidR="0067016E" w:rsidRPr="0067016E" w:rsidRDefault="0067016E" w:rsidP="0067016E">
      <w:pPr>
        <w:rPr>
          <w:lang w:eastAsia="en-GB"/>
        </w:rPr>
      </w:pPr>
      <w:r w:rsidRPr="0067016E">
        <w:rPr>
          <w:lang w:eastAsia="en-GB"/>
        </w:rPr>
        <w:t> </w:t>
      </w:r>
    </w:p>
    <w:p w14:paraId="0C5772D5" w14:textId="77777777" w:rsidR="0067016E" w:rsidRPr="0067016E" w:rsidRDefault="0067016E" w:rsidP="0067016E">
      <w:pPr>
        <w:rPr>
          <w:lang w:eastAsia="en-GB"/>
        </w:rPr>
      </w:pPr>
      <w:r w:rsidRPr="0067016E">
        <w:rPr>
          <w:lang w:eastAsia="en-GB"/>
        </w:rPr>
        <w:t>The programme consists of an interactive presentation of the relevant rules and good practice with questions and comments to and from the participants, interrupted by a large number of practical examples. Furthermore, the programme is supported by some video presentations on YouTube, notably on the New York Convention.</w:t>
      </w:r>
    </w:p>
    <w:p w14:paraId="11DD020A" w14:textId="77777777" w:rsidR="0067016E" w:rsidRPr="0067016E" w:rsidRDefault="0067016E" w:rsidP="0067016E">
      <w:pPr>
        <w:rPr>
          <w:lang w:eastAsia="en-GB"/>
        </w:rPr>
      </w:pPr>
      <w:r w:rsidRPr="0067016E">
        <w:rPr>
          <w:lang w:eastAsia="en-GB"/>
        </w:rPr>
        <w:t> </w:t>
      </w:r>
    </w:p>
    <w:p w14:paraId="66A3F6FF" w14:textId="77777777" w:rsidR="0067016E" w:rsidRPr="0067016E" w:rsidRDefault="0067016E" w:rsidP="0067016E">
      <w:pPr>
        <w:rPr>
          <w:lang w:eastAsia="en-GB"/>
        </w:rPr>
      </w:pPr>
      <w:r w:rsidRPr="0067016E">
        <w:rPr>
          <w:lang w:eastAsia="en-GB"/>
        </w:rPr>
        <w:t> </w:t>
      </w:r>
    </w:p>
    <w:p w14:paraId="3B478BC6" w14:textId="77777777" w:rsidR="0067016E" w:rsidRPr="0067016E" w:rsidRDefault="0067016E" w:rsidP="0067016E">
      <w:pPr>
        <w:rPr>
          <w:lang w:eastAsia="en-GB"/>
        </w:rPr>
      </w:pPr>
      <w:r w:rsidRPr="0067016E">
        <w:rPr>
          <w:b/>
          <w:bCs/>
          <w:bdr w:val="none" w:sz="0" w:space="0" w:color="auto" w:frame="1"/>
          <w:lang w:eastAsia="en-GB"/>
        </w:rPr>
        <w:t xml:space="preserve">Who Should </w:t>
      </w:r>
      <w:proofErr w:type="gramStart"/>
      <w:r w:rsidRPr="0067016E">
        <w:rPr>
          <w:b/>
          <w:bCs/>
          <w:bdr w:val="none" w:sz="0" w:space="0" w:color="auto" w:frame="1"/>
          <w:lang w:eastAsia="en-GB"/>
        </w:rPr>
        <w:t>Attend</w:t>
      </w:r>
      <w:proofErr w:type="gramEnd"/>
    </w:p>
    <w:p w14:paraId="42C9FD6D" w14:textId="77777777" w:rsidR="0067016E" w:rsidRPr="0067016E" w:rsidRDefault="0067016E" w:rsidP="0067016E">
      <w:pPr>
        <w:rPr>
          <w:lang w:eastAsia="en-GB"/>
        </w:rPr>
      </w:pPr>
      <w:r w:rsidRPr="0067016E">
        <w:rPr>
          <w:lang w:eastAsia="en-GB"/>
        </w:rPr>
        <w:t> </w:t>
      </w:r>
    </w:p>
    <w:p w14:paraId="5A0C17E9" w14:textId="77777777" w:rsidR="0067016E" w:rsidRPr="0067016E" w:rsidRDefault="0067016E" w:rsidP="0067016E">
      <w:pPr>
        <w:rPr>
          <w:lang w:eastAsia="en-GB"/>
        </w:rPr>
      </w:pPr>
      <w:r w:rsidRPr="0067016E">
        <w:rPr>
          <w:lang w:eastAsia="en-GB"/>
        </w:rPr>
        <w:t>The programme is ideal for:</w:t>
      </w:r>
    </w:p>
    <w:p w14:paraId="1CFE3344" w14:textId="77777777" w:rsidR="0067016E" w:rsidRPr="0067016E" w:rsidRDefault="0067016E" w:rsidP="0067016E">
      <w:pPr>
        <w:pStyle w:val="ListParagraph"/>
        <w:numPr>
          <w:ilvl w:val="0"/>
          <w:numId w:val="28"/>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Lawyers seeking to understand arbitration and dispute resolution generally</w:t>
      </w:r>
    </w:p>
    <w:p w14:paraId="5F018793" w14:textId="77777777" w:rsidR="0067016E" w:rsidRPr="0067016E" w:rsidRDefault="0067016E" w:rsidP="0067016E">
      <w:pPr>
        <w:pStyle w:val="ListParagraph"/>
        <w:numPr>
          <w:ilvl w:val="0"/>
          <w:numId w:val="28"/>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Dispute resolution specialists keen to increase their legal knowledge</w:t>
      </w:r>
    </w:p>
    <w:p w14:paraId="58BB045E" w14:textId="77777777" w:rsidR="0067016E" w:rsidRPr="0067016E" w:rsidRDefault="0067016E" w:rsidP="0067016E">
      <w:pPr>
        <w:pStyle w:val="ListParagraph"/>
        <w:numPr>
          <w:ilvl w:val="0"/>
          <w:numId w:val="28"/>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Lawyers in need of CPD points and keen to move away from looking at court litigation as the only form of dispute management</w:t>
      </w:r>
    </w:p>
    <w:p w14:paraId="19A36E8E" w14:textId="77777777" w:rsidR="0067016E" w:rsidRPr="0067016E" w:rsidRDefault="0067016E" w:rsidP="0067016E">
      <w:pPr>
        <w:pStyle w:val="ListParagraph"/>
        <w:numPr>
          <w:ilvl w:val="0"/>
          <w:numId w:val="28"/>
        </w:numPr>
        <w:spacing w:after="0" w:line="240" w:lineRule="auto"/>
        <w:textAlignment w:val="baseline"/>
        <w:rPr>
          <w:rFonts w:eastAsia="Times New Roman" w:cstheme="minorHAnsi"/>
          <w:color w:val="000000"/>
          <w:lang w:eastAsia="en-GB"/>
        </w:rPr>
      </w:pPr>
      <w:r w:rsidRPr="0067016E">
        <w:rPr>
          <w:rFonts w:eastAsia="Times New Roman" w:cstheme="minorHAnsi"/>
          <w:color w:val="000000"/>
          <w:lang w:eastAsia="en-GB"/>
        </w:rPr>
        <w:t>HR Managers who need to know the fundamentals of Cyprus arbitration</w:t>
      </w:r>
    </w:p>
    <w:p w14:paraId="2DD50059" w14:textId="77777777" w:rsidR="0067016E" w:rsidRPr="0067016E" w:rsidRDefault="0067016E" w:rsidP="0067016E">
      <w:pPr>
        <w:pStyle w:val="ListParagraph"/>
        <w:numPr>
          <w:ilvl w:val="0"/>
          <w:numId w:val="28"/>
        </w:numPr>
        <w:spacing w:after="0" w:line="240" w:lineRule="auto"/>
        <w:textAlignment w:val="baseline"/>
        <w:rPr>
          <w:rFonts w:ascii="Arial" w:eastAsia="Times New Roman" w:hAnsi="Arial" w:cs="Arial"/>
          <w:color w:val="000000"/>
          <w:sz w:val="23"/>
          <w:szCs w:val="23"/>
          <w:lang w:eastAsia="en-GB"/>
        </w:rPr>
      </w:pPr>
      <w:r w:rsidRPr="0067016E">
        <w:rPr>
          <w:rFonts w:eastAsia="Times New Roman" w:cstheme="minorHAnsi"/>
          <w:color w:val="000000"/>
          <w:lang w:eastAsia="en-GB"/>
        </w:rPr>
        <w:t>Professionals and students keen to understand where Cyprus arbitration law comes from and how it operates</w:t>
      </w:r>
    </w:p>
    <w:p w14:paraId="52C80836" w14:textId="0CF1FF4B" w:rsidR="00876047" w:rsidRDefault="00876047" w:rsidP="00F36A3E">
      <w:pPr>
        <w:spacing w:after="0" w:line="240" w:lineRule="auto"/>
      </w:pPr>
    </w:p>
    <w:p w14:paraId="3ADB8C01" w14:textId="6482F27D" w:rsidR="00F36A3E" w:rsidRDefault="00F36A3E" w:rsidP="00F36A3E">
      <w:pPr>
        <w:spacing w:after="0" w:line="240" w:lineRule="auto"/>
      </w:pPr>
    </w:p>
    <w:p w14:paraId="0E9D8C11" w14:textId="244E55DD" w:rsidR="00F36A3E" w:rsidRDefault="00F36A3E" w:rsidP="00F36A3E">
      <w:pPr>
        <w:spacing w:after="0" w:line="240" w:lineRule="auto"/>
      </w:pPr>
      <w:r>
        <w:rPr>
          <w:b/>
        </w:rPr>
        <w:t>More information</w:t>
      </w:r>
    </w:p>
    <w:p w14:paraId="6C40C57E" w14:textId="0BE5542F" w:rsidR="00F36A3E" w:rsidRDefault="00F36A3E" w:rsidP="00F36A3E">
      <w:pPr>
        <w:spacing w:after="0" w:line="240" w:lineRule="auto"/>
      </w:pPr>
    </w:p>
    <w:p w14:paraId="77DB47A4" w14:textId="08C77D99" w:rsidR="00F36A3E" w:rsidRPr="00F36A3E" w:rsidRDefault="00F36A3E" w:rsidP="00F36A3E">
      <w:pPr>
        <w:spacing w:after="0" w:line="240" w:lineRule="auto"/>
      </w:pPr>
      <w:r>
        <w:t xml:space="preserve">To find out more about this training programme and to register, please </w:t>
      </w:r>
      <w:hyperlink r:id="rId5" w:history="1">
        <w:r w:rsidRPr="0067016E">
          <w:rPr>
            <w:rStyle w:val="Hyperlink"/>
          </w:rPr>
          <w:t>cli</w:t>
        </w:r>
        <w:bookmarkStart w:id="0" w:name="_GoBack"/>
        <w:bookmarkEnd w:id="0"/>
        <w:r w:rsidRPr="0067016E">
          <w:rPr>
            <w:rStyle w:val="Hyperlink"/>
          </w:rPr>
          <w:t>ck</w:t>
        </w:r>
      </w:hyperlink>
      <w:r w:rsidRPr="0067016E">
        <w:rPr>
          <w:rStyle w:val="Hyperlink"/>
        </w:rPr>
        <w:t xml:space="preserve"> here</w:t>
      </w:r>
      <w:r>
        <w:t xml:space="preserve">. To speak with a Learning &amp; Development Advisor at EIMF, please contact us at 22274470 or </w:t>
      </w:r>
      <w:hyperlink r:id="rId6" w:history="1">
        <w:r w:rsidRPr="00163812">
          <w:rPr>
            <w:rStyle w:val="Hyperlink"/>
          </w:rPr>
          <w:t>info@eimf.eu</w:t>
        </w:r>
      </w:hyperlink>
      <w:r>
        <w:t xml:space="preserve">. </w:t>
      </w:r>
    </w:p>
    <w:sectPr w:rsidR="00F36A3E" w:rsidRPr="00F3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4FC"/>
    <w:multiLevelType w:val="multilevel"/>
    <w:tmpl w:val="8F6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41FC6"/>
    <w:multiLevelType w:val="multilevel"/>
    <w:tmpl w:val="6AD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662"/>
    <w:multiLevelType w:val="multilevel"/>
    <w:tmpl w:val="008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F328E"/>
    <w:multiLevelType w:val="multilevel"/>
    <w:tmpl w:val="59D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674F9"/>
    <w:multiLevelType w:val="hybridMultilevel"/>
    <w:tmpl w:val="8C22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6925"/>
    <w:multiLevelType w:val="multilevel"/>
    <w:tmpl w:val="21BE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D19AC"/>
    <w:multiLevelType w:val="hybridMultilevel"/>
    <w:tmpl w:val="922C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51205"/>
    <w:multiLevelType w:val="multilevel"/>
    <w:tmpl w:val="EB9A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C4BB5"/>
    <w:multiLevelType w:val="multilevel"/>
    <w:tmpl w:val="95A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A5ADE"/>
    <w:multiLevelType w:val="hybridMultilevel"/>
    <w:tmpl w:val="8DDA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288D"/>
    <w:multiLevelType w:val="multilevel"/>
    <w:tmpl w:val="D44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66379"/>
    <w:multiLevelType w:val="multilevel"/>
    <w:tmpl w:val="C060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873BD"/>
    <w:multiLevelType w:val="hybridMultilevel"/>
    <w:tmpl w:val="B116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B5791"/>
    <w:multiLevelType w:val="multilevel"/>
    <w:tmpl w:val="4EA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02781"/>
    <w:multiLevelType w:val="multilevel"/>
    <w:tmpl w:val="529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E13AE"/>
    <w:multiLevelType w:val="multilevel"/>
    <w:tmpl w:val="5ED6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16B5E"/>
    <w:multiLevelType w:val="hybridMultilevel"/>
    <w:tmpl w:val="6130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15655"/>
    <w:multiLevelType w:val="multilevel"/>
    <w:tmpl w:val="627E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4706E"/>
    <w:multiLevelType w:val="hybridMultilevel"/>
    <w:tmpl w:val="0FB8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B3C24"/>
    <w:multiLevelType w:val="multilevel"/>
    <w:tmpl w:val="FF80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90DD3"/>
    <w:multiLevelType w:val="multilevel"/>
    <w:tmpl w:val="95A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B3CE8"/>
    <w:multiLevelType w:val="multilevel"/>
    <w:tmpl w:val="88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606C5"/>
    <w:multiLevelType w:val="hybridMultilevel"/>
    <w:tmpl w:val="DCE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3264FB"/>
    <w:multiLevelType w:val="multilevel"/>
    <w:tmpl w:val="95A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E6DF6"/>
    <w:multiLevelType w:val="hybridMultilevel"/>
    <w:tmpl w:val="6EB2F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76F3C"/>
    <w:multiLevelType w:val="multilevel"/>
    <w:tmpl w:val="95A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1561B4"/>
    <w:multiLevelType w:val="multilevel"/>
    <w:tmpl w:val="E38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22023"/>
    <w:multiLevelType w:val="multilevel"/>
    <w:tmpl w:val="1918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5"/>
  </w:num>
  <w:num w:numId="4">
    <w:abstractNumId w:val="1"/>
  </w:num>
  <w:num w:numId="5">
    <w:abstractNumId w:val="11"/>
  </w:num>
  <w:num w:numId="6">
    <w:abstractNumId w:val="14"/>
  </w:num>
  <w:num w:numId="7">
    <w:abstractNumId w:val="27"/>
  </w:num>
  <w:num w:numId="8">
    <w:abstractNumId w:val="19"/>
  </w:num>
  <w:num w:numId="9">
    <w:abstractNumId w:val="3"/>
  </w:num>
  <w:num w:numId="10">
    <w:abstractNumId w:val="13"/>
  </w:num>
  <w:num w:numId="11">
    <w:abstractNumId w:val="2"/>
  </w:num>
  <w:num w:numId="12">
    <w:abstractNumId w:val="7"/>
  </w:num>
  <w:num w:numId="13">
    <w:abstractNumId w:val="5"/>
  </w:num>
  <w:num w:numId="14">
    <w:abstractNumId w:val="21"/>
  </w:num>
  <w:num w:numId="15">
    <w:abstractNumId w:val="23"/>
  </w:num>
  <w:num w:numId="16">
    <w:abstractNumId w:val="26"/>
  </w:num>
  <w:num w:numId="17">
    <w:abstractNumId w:val="10"/>
  </w:num>
  <w:num w:numId="18">
    <w:abstractNumId w:val="22"/>
  </w:num>
  <w:num w:numId="19">
    <w:abstractNumId w:val="16"/>
  </w:num>
  <w:num w:numId="20">
    <w:abstractNumId w:val="12"/>
  </w:num>
  <w:num w:numId="21">
    <w:abstractNumId w:val="9"/>
  </w:num>
  <w:num w:numId="22">
    <w:abstractNumId w:val="18"/>
  </w:num>
  <w:num w:numId="23">
    <w:abstractNumId w:val="24"/>
  </w:num>
  <w:num w:numId="24">
    <w:abstractNumId w:val="6"/>
  </w:num>
  <w:num w:numId="25">
    <w:abstractNumId w:val="4"/>
  </w:num>
  <w:num w:numId="26">
    <w:abstractNumId w:val="8"/>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3E"/>
    <w:rsid w:val="0067016E"/>
    <w:rsid w:val="00876047"/>
    <w:rsid w:val="00F3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8123"/>
  <w15:chartTrackingRefBased/>
  <w15:docId w15:val="{05BE659D-2C37-4CAB-91E3-0FF5AF98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A3E"/>
    <w:rPr>
      <w:color w:val="0563C1" w:themeColor="hyperlink"/>
      <w:u w:val="single"/>
    </w:rPr>
  </w:style>
  <w:style w:type="character" w:styleId="UnresolvedMention">
    <w:name w:val="Unresolved Mention"/>
    <w:basedOn w:val="DefaultParagraphFont"/>
    <w:uiPriority w:val="99"/>
    <w:semiHidden/>
    <w:unhideWhenUsed/>
    <w:rsid w:val="00F36A3E"/>
    <w:rPr>
      <w:color w:val="605E5C"/>
      <w:shd w:val="clear" w:color="auto" w:fill="E1DFDD"/>
    </w:rPr>
  </w:style>
  <w:style w:type="paragraph" w:styleId="NormalWeb">
    <w:name w:val="Normal (Web)"/>
    <w:basedOn w:val="Normal"/>
    <w:uiPriority w:val="99"/>
    <w:semiHidden/>
    <w:unhideWhenUsed/>
    <w:rsid w:val="00670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016E"/>
    <w:rPr>
      <w:b/>
      <w:bCs/>
    </w:rPr>
  </w:style>
  <w:style w:type="character" w:styleId="Emphasis">
    <w:name w:val="Emphasis"/>
    <w:basedOn w:val="DefaultParagraphFont"/>
    <w:uiPriority w:val="20"/>
    <w:qFormat/>
    <w:rsid w:val="0067016E"/>
    <w:rPr>
      <w:i/>
      <w:iCs/>
    </w:rPr>
  </w:style>
  <w:style w:type="paragraph" w:styleId="ListParagraph">
    <w:name w:val="List Paragraph"/>
    <w:basedOn w:val="Normal"/>
    <w:uiPriority w:val="34"/>
    <w:qFormat/>
    <w:rsid w:val="0067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16191">
      <w:bodyDiv w:val="1"/>
      <w:marLeft w:val="0"/>
      <w:marRight w:val="0"/>
      <w:marTop w:val="0"/>
      <w:marBottom w:val="0"/>
      <w:divBdr>
        <w:top w:val="none" w:sz="0" w:space="0" w:color="auto"/>
        <w:left w:val="none" w:sz="0" w:space="0" w:color="auto"/>
        <w:bottom w:val="none" w:sz="0" w:space="0" w:color="auto"/>
        <w:right w:val="none" w:sz="0" w:space="0" w:color="auto"/>
      </w:divBdr>
      <w:divsChild>
        <w:div w:id="1350911843">
          <w:marLeft w:val="0"/>
          <w:marRight w:val="0"/>
          <w:marTop w:val="0"/>
          <w:marBottom w:val="0"/>
          <w:divBdr>
            <w:top w:val="none" w:sz="0" w:space="0" w:color="auto"/>
            <w:left w:val="none" w:sz="0" w:space="0" w:color="auto"/>
            <w:bottom w:val="none" w:sz="0" w:space="0" w:color="auto"/>
            <w:right w:val="none" w:sz="0" w:space="0" w:color="auto"/>
          </w:divBdr>
        </w:div>
      </w:divsChild>
    </w:div>
    <w:div w:id="1259676919">
      <w:bodyDiv w:val="1"/>
      <w:marLeft w:val="0"/>
      <w:marRight w:val="0"/>
      <w:marTop w:val="0"/>
      <w:marBottom w:val="0"/>
      <w:divBdr>
        <w:top w:val="none" w:sz="0" w:space="0" w:color="auto"/>
        <w:left w:val="none" w:sz="0" w:space="0" w:color="auto"/>
        <w:bottom w:val="none" w:sz="0" w:space="0" w:color="auto"/>
        <w:right w:val="none" w:sz="0" w:space="0" w:color="auto"/>
      </w:divBdr>
    </w:div>
    <w:div w:id="1747606394">
      <w:bodyDiv w:val="1"/>
      <w:marLeft w:val="0"/>
      <w:marRight w:val="0"/>
      <w:marTop w:val="0"/>
      <w:marBottom w:val="0"/>
      <w:divBdr>
        <w:top w:val="none" w:sz="0" w:space="0" w:color="auto"/>
        <w:left w:val="none" w:sz="0" w:space="0" w:color="auto"/>
        <w:bottom w:val="none" w:sz="0" w:space="0" w:color="auto"/>
        <w:right w:val="none" w:sz="0" w:space="0" w:color="auto"/>
      </w:divBdr>
      <w:divsChild>
        <w:div w:id="188082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imf.eu" TargetMode="External"/><Relationship Id="rId5" Type="http://schemas.openxmlformats.org/officeDocument/2006/relationships/hyperlink" Target="https://eimf.eu/courses/cyprus-arbitration-law-and-practic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Metaxas</dc:creator>
  <cp:keywords/>
  <dc:description/>
  <cp:lastModifiedBy>sophie</cp:lastModifiedBy>
  <cp:revision>2</cp:revision>
  <dcterms:created xsi:type="dcterms:W3CDTF">2019-02-09T09:07:00Z</dcterms:created>
  <dcterms:modified xsi:type="dcterms:W3CDTF">2019-02-09T09:07:00Z</dcterms:modified>
</cp:coreProperties>
</file>