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9AD6" w14:textId="7734531E" w:rsidR="0054586A" w:rsidRPr="001423F8" w:rsidRDefault="0054586A" w:rsidP="00A552D8">
      <w:pPr>
        <w:pBdr>
          <w:bottom w:val="single" w:sz="4" w:space="1" w:color="auto"/>
        </w:pBdr>
        <w:spacing w:after="0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  <w:lang w:val="el-GR"/>
        </w:rPr>
      </w:pPr>
      <w:r w:rsidRPr="001423F8">
        <w:rPr>
          <w:rFonts w:ascii="Times New Roman" w:hAnsi="Times New Roman" w:cs="Times New Roman"/>
          <w:b/>
          <w:bCs/>
          <w:sz w:val="32"/>
          <w:szCs w:val="32"/>
          <w:lang w:val="el-GR"/>
        </w:rPr>
        <w:t xml:space="preserve">ΕΓΚΥΚΛΙΟΣ </w:t>
      </w:r>
      <w:r w:rsidR="000C18DB" w:rsidRPr="001423F8">
        <w:rPr>
          <w:rFonts w:ascii="Times New Roman" w:hAnsi="Times New Roman" w:cs="Times New Roman"/>
          <w:b/>
          <w:bCs/>
          <w:sz w:val="32"/>
          <w:szCs w:val="32"/>
          <w:lang w:val="el-GR"/>
        </w:rPr>
        <w:t>0</w:t>
      </w:r>
      <w:r w:rsidR="003F4C98" w:rsidRPr="00606588">
        <w:rPr>
          <w:rFonts w:ascii="Times New Roman" w:hAnsi="Times New Roman" w:cs="Times New Roman"/>
          <w:b/>
          <w:bCs/>
          <w:sz w:val="32"/>
          <w:szCs w:val="32"/>
          <w:lang w:val="el-GR"/>
        </w:rPr>
        <w:t>9</w:t>
      </w:r>
      <w:r w:rsidR="000C18DB" w:rsidRPr="001423F8">
        <w:rPr>
          <w:rFonts w:ascii="Times New Roman" w:hAnsi="Times New Roman" w:cs="Times New Roman"/>
          <w:b/>
          <w:bCs/>
          <w:sz w:val="32"/>
          <w:szCs w:val="32"/>
          <w:lang w:val="el-GR"/>
        </w:rPr>
        <w:t>/202</w:t>
      </w:r>
      <w:r w:rsidR="007D157C">
        <w:rPr>
          <w:rFonts w:ascii="Times New Roman" w:hAnsi="Times New Roman" w:cs="Times New Roman"/>
          <w:b/>
          <w:bCs/>
          <w:sz w:val="32"/>
          <w:szCs w:val="32"/>
          <w:lang w:val="el-GR"/>
        </w:rPr>
        <w:t>3</w:t>
      </w:r>
    </w:p>
    <w:p w14:paraId="111C89E9" w14:textId="77777777" w:rsidR="00A552D8" w:rsidRDefault="00A552D8" w:rsidP="00A552D8">
      <w:pPr>
        <w:pBdr>
          <w:bottom w:val="single" w:sz="4" w:space="1" w:color="auto"/>
        </w:pBdr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66FE21F5" w14:textId="6CE33F8F" w:rsidR="002F1A5D" w:rsidRPr="00A735FD" w:rsidRDefault="002F1A5D" w:rsidP="000219DA">
      <w:pPr>
        <w:pBdr>
          <w:bottom w:val="single" w:sz="4" w:space="1" w:color="auto"/>
        </w:pBdr>
        <w:spacing w:before="120" w:after="0"/>
        <w:rPr>
          <w:rFonts w:ascii="Times New Roman" w:hAnsi="Times New Roman" w:cs="Times New Roman"/>
          <w:sz w:val="24"/>
          <w:szCs w:val="24"/>
          <w:lang w:val="el-GR"/>
        </w:rPr>
      </w:pPr>
      <w:r w:rsidRPr="00D259B6"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ΠΡΟΣ:</w:t>
      </w:r>
      <w:r w:rsidRPr="00A735F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560AD">
        <w:rPr>
          <w:rFonts w:ascii="Times New Roman" w:hAnsi="Times New Roman" w:cs="Times New Roman"/>
          <w:sz w:val="24"/>
          <w:szCs w:val="24"/>
          <w:lang w:val="el-GR"/>
        </w:rPr>
        <w:t>ΟΛΑ ΤΑ ΜΕΛΗ</w:t>
      </w:r>
    </w:p>
    <w:p w14:paraId="2AC7937D" w14:textId="2F9E4021" w:rsidR="000219DA" w:rsidRDefault="000219DA" w:rsidP="000219DA">
      <w:pPr>
        <w:pBdr>
          <w:bottom w:val="single" w:sz="4" w:space="1" w:color="auto"/>
        </w:pBdr>
        <w:spacing w:before="120" w:after="0"/>
        <w:rPr>
          <w:rFonts w:ascii="Times New Roman" w:hAnsi="Times New Roman" w:cs="Times New Roman"/>
          <w:sz w:val="24"/>
          <w:szCs w:val="24"/>
          <w:lang w:val="el-GR"/>
        </w:rPr>
      </w:pPr>
      <w:r w:rsidRPr="00D259B6">
        <w:rPr>
          <w:rFonts w:ascii="Times New Roman" w:hAnsi="Times New Roman" w:cs="Times New Roman"/>
          <w:b/>
          <w:bCs/>
          <w:sz w:val="24"/>
          <w:szCs w:val="24"/>
          <w:lang w:val="el-GR"/>
        </w:rPr>
        <w:t>ΑΠΟ: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ΠΑΓΚΥΠΡΙΟ ΔΙΚΗΓΟΡΙΚΟ ΣΥΛΛΟΓΟ</w:t>
      </w:r>
    </w:p>
    <w:p w14:paraId="650EF738" w14:textId="16FA865D" w:rsidR="002610DD" w:rsidRPr="003562D0" w:rsidRDefault="002610DD" w:rsidP="000219DA">
      <w:pPr>
        <w:pBdr>
          <w:bottom w:val="single" w:sz="4" w:space="1" w:color="auto"/>
        </w:pBdr>
        <w:spacing w:before="120" w:after="0"/>
        <w:rPr>
          <w:rFonts w:ascii="Times New Roman" w:hAnsi="Times New Roman" w:cs="Times New Roman"/>
          <w:sz w:val="24"/>
          <w:szCs w:val="24"/>
          <w:lang w:val="el-GR"/>
        </w:rPr>
      </w:pPr>
      <w:r w:rsidRPr="002610DD">
        <w:rPr>
          <w:rFonts w:ascii="Times New Roman" w:hAnsi="Times New Roman" w:cs="Times New Roman"/>
          <w:b/>
          <w:bCs/>
          <w:sz w:val="24"/>
          <w:szCs w:val="24"/>
          <w:lang w:val="el-GR"/>
        </w:rPr>
        <w:t>ΤΜΗΜΑ</w:t>
      </w:r>
      <w:r>
        <w:rPr>
          <w:rFonts w:ascii="Times New Roman" w:hAnsi="Times New Roman" w:cs="Times New Roman"/>
          <w:sz w:val="24"/>
          <w:szCs w:val="24"/>
          <w:lang w:val="el-GR"/>
        </w:rPr>
        <w:t>: ΕΠΟΠΤΕΙΑΣ ΚΑΙ ΣΥΜΜΟΡΦΩΣΗΣ</w:t>
      </w:r>
    </w:p>
    <w:p w14:paraId="10734809" w14:textId="5516AF77" w:rsidR="002F1A5D" w:rsidRDefault="002F1A5D" w:rsidP="000219DA">
      <w:pPr>
        <w:pBdr>
          <w:bottom w:val="single" w:sz="4" w:space="1" w:color="auto"/>
        </w:pBdr>
        <w:spacing w:before="120" w:after="0"/>
        <w:rPr>
          <w:rFonts w:ascii="Times New Roman" w:hAnsi="Times New Roman" w:cs="Times New Roman"/>
          <w:sz w:val="24"/>
          <w:szCs w:val="24"/>
          <w:lang w:val="el-GR"/>
        </w:rPr>
      </w:pPr>
      <w:r w:rsidRPr="00D259B6">
        <w:rPr>
          <w:rFonts w:ascii="Times New Roman" w:hAnsi="Times New Roman" w:cs="Times New Roman"/>
          <w:b/>
          <w:bCs/>
          <w:sz w:val="24"/>
          <w:szCs w:val="24"/>
          <w:lang w:val="el-GR"/>
        </w:rPr>
        <w:t>ΗΜΕΡΟΜΗΝΙΑ:</w:t>
      </w:r>
      <w:r w:rsidRPr="00A735F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E1985" w:rsidRPr="00DE1985">
        <w:rPr>
          <w:rFonts w:ascii="Times New Roman" w:hAnsi="Times New Roman" w:cs="Times New Roman"/>
          <w:sz w:val="24"/>
          <w:szCs w:val="24"/>
          <w:lang w:val="el-GR"/>
        </w:rPr>
        <w:t>10</w:t>
      </w:r>
      <w:r w:rsidR="00442DD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E1985">
        <w:rPr>
          <w:rFonts w:ascii="Times New Roman" w:hAnsi="Times New Roman" w:cs="Times New Roman"/>
          <w:sz w:val="24"/>
          <w:szCs w:val="24"/>
          <w:lang w:val="el-GR"/>
        </w:rPr>
        <w:t>ΟΚΤΩΒΡΙ</w:t>
      </w:r>
      <w:r w:rsidR="00442DDA">
        <w:rPr>
          <w:rFonts w:ascii="Times New Roman" w:hAnsi="Times New Roman" w:cs="Times New Roman"/>
          <w:sz w:val="24"/>
          <w:szCs w:val="24"/>
          <w:lang w:val="el-GR"/>
        </w:rPr>
        <w:t>ΟΥ</w:t>
      </w:r>
      <w:r w:rsidR="00A735FD" w:rsidRPr="00A735FD">
        <w:rPr>
          <w:rFonts w:ascii="Times New Roman" w:hAnsi="Times New Roman" w:cs="Times New Roman"/>
          <w:sz w:val="24"/>
          <w:szCs w:val="24"/>
          <w:lang w:val="el-GR"/>
        </w:rPr>
        <w:t xml:space="preserve"> 202</w:t>
      </w:r>
      <w:r w:rsidR="007D157C">
        <w:rPr>
          <w:rFonts w:ascii="Times New Roman" w:hAnsi="Times New Roman" w:cs="Times New Roman"/>
          <w:sz w:val="24"/>
          <w:szCs w:val="24"/>
          <w:lang w:val="el-GR"/>
        </w:rPr>
        <w:t>3</w:t>
      </w:r>
    </w:p>
    <w:p w14:paraId="0265432F" w14:textId="42DCC31A" w:rsidR="00A735FD" w:rsidRDefault="00A735FD" w:rsidP="007D15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14:paraId="102EB13E" w14:textId="615FAB92" w:rsidR="007D157C" w:rsidRDefault="002F1A5D" w:rsidP="00E654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  <w:r w:rsidRPr="0059233F">
        <w:rPr>
          <w:rFonts w:ascii="Times New Roman" w:hAnsi="Times New Roman" w:cs="Times New Roman"/>
          <w:b/>
          <w:bCs/>
          <w:sz w:val="26"/>
          <w:szCs w:val="26"/>
          <w:u w:val="single"/>
          <w:lang w:val="el-GR"/>
        </w:rPr>
        <w:t>ΘΕΜΑ</w:t>
      </w:r>
      <w:r w:rsidRPr="0059233F">
        <w:rPr>
          <w:rFonts w:ascii="Times New Roman" w:hAnsi="Times New Roman" w:cs="Times New Roman"/>
          <w:b/>
          <w:bCs/>
          <w:sz w:val="26"/>
          <w:szCs w:val="26"/>
          <w:lang w:val="el-GR"/>
        </w:rPr>
        <w:t>:</w:t>
      </w:r>
      <w:r w:rsidR="005A3032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</w:t>
      </w:r>
      <w:r w:rsidR="000F445E">
        <w:rPr>
          <w:rFonts w:ascii="Times New Roman" w:hAnsi="Times New Roman" w:cs="Times New Roman"/>
          <w:b/>
          <w:bCs/>
          <w:sz w:val="26"/>
          <w:szCs w:val="26"/>
          <w:lang w:val="el-GR"/>
        </w:rPr>
        <w:t>ΑΝΑΘΕΩΡΗΜΕΝ</w:t>
      </w:r>
      <w:r w:rsidR="004560AD">
        <w:rPr>
          <w:rFonts w:ascii="Times New Roman" w:hAnsi="Times New Roman" w:cs="Times New Roman"/>
          <w:b/>
          <w:bCs/>
          <w:sz w:val="26"/>
          <w:szCs w:val="26"/>
          <w:lang w:val="el-GR"/>
        </w:rPr>
        <w:t>ΟΣ</w:t>
      </w:r>
      <w:r w:rsidR="000F445E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</w:t>
      </w:r>
      <w:r w:rsidR="004560AD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ΚΑΤΑΛΟΓΟΣ </w:t>
      </w:r>
      <w:r w:rsidR="000456F7">
        <w:rPr>
          <w:rFonts w:ascii="Times New Roman" w:hAnsi="Times New Roman" w:cs="Times New Roman"/>
          <w:b/>
          <w:bCs/>
          <w:sz w:val="26"/>
          <w:szCs w:val="26"/>
          <w:lang w:val="el-GR"/>
        </w:rPr>
        <w:t>ΤΡΙΤΩΝ ΧΩΡΩΝ ΥΨΗΛΟΥ ΚΙΝΔΥΝΟΥ (</w:t>
      </w:r>
      <w:r w:rsidR="000456F7">
        <w:rPr>
          <w:rFonts w:ascii="Times New Roman" w:hAnsi="Times New Roman" w:cs="Times New Roman"/>
          <w:b/>
          <w:bCs/>
          <w:sz w:val="26"/>
          <w:szCs w:val="26"/>
        </w:rPr>
        <w:t>High</w:t>
      </w:r>
      <w:r w:rsidR="000456F7" w:rsidRPr="000456F7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</w:t>
      </w:r>
      <w:r w:rsidR="000456F7">
        <w:rPr>
          <w:rFonts w:ascii="Times New Roman" w:hAnsi="Times New Roman" w:cs="Times New Roman"/>
          <w:b/>
          <w:bCs/>
          <w:sz w:val="26"/>
          <w:szCs w:val="26"/>
        </w:rPr>
        <w:t>Risk</w:t>
      </w:r>
      <w:r w:rsidR="000456F7" w:rsidRPr="000456F7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</w:t>
      </w:r>
      <w:r w:rsidR="000456F7">
        <w:rPr>
          <w:rFonts w:ascii="Times New Roman" w:hAnsi="Times New Roman" w:cs="Times New Roman"/>
          <w:b/>
          <w:bCs/>
          <w:sz w:val="26"/>
          <w:szCs w:val="26"/>
        </w:rPr>
        <w:t>Third</w:t>
      </w:r>
      <w:r w:rsidR="000456F7" w:rsidRPr="000456F7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</w:t>
      </w:r>
      <w:r w:rsidR="000456F7">
        <w:rPr>
          <w:rFonts w:ascii="Times New Roman" w:hAnsi="Times New Roman" w:cs="Times New Roman"/>
          <w:b/>
          <w:bCs/>
          <w:sz w:val="26"/>
          <w:szCs w:val="26"/>
        </w:rPr>
        <w:t>Countries</w:t>
      </w:r>
      <w:r w:rsidR="000456F7" w:rsidRPr="000456F7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</w:t>
      </w:r>
      <w:r w:rsidR="000456F7">
        <w:rPr>
          <w:rFonts w:ascii="Times New Roman" w:hAnsi="Times New Roman" w:cs="Times New Roman"/>
          <w:b/>
          <w:bCs/>
          <w:sz w:val="26"/>
          <w:szCs w:val="26"/>
        </w:rPr>
        <w:t>List</w:t>
      </w:r>
      <w:r w:rsidR="000456F7" w:rsidRPr="000456F7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) </w:t>
      </w:r>
      <w:r w:rsidR="000456F7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ΚΑΙ </w:t>
      </w:r>
      <w:r w:rsidR="004560AD">
        <w:rPr>
          <w:rFonts w:ascii="Times New Roman" w:hAnsi="Times New Roman" w:cs="Times New Roman"/>
          <w:b/>
          <w:bCs/>
          <w:sz w:val="26"/>
          <w:szCs w:val="26"/>
          <w:lang w:val="el-GR"/>
        </w:rPr>
        <w:t>ΜΗ ΣΥΝΕΡΓΑΣΙΜΩΝ ΦΟΡΟΛΟΓΙΚΩΝ ΔΙΚΑΙΟΔΟΣΙΩΝ</w:t>
      </w:r>
      <w:r w:rsidR="000456F7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(</w:t>
      </w:r>
      <w:r w:rsidR="000456F7">
        <w:rPr>
          <w:rFonts w:ascii="Times New Roman" w:hAnsi="Times New Roman" w:cs="Times New Roman"/>
          <w:b/>
          <w:bCs/>
          <w:sz w:val="26"/>
          <w:szCs w:val="26"/>
        </w:rPr>
        <w:t>EU</w:t>
      </w:r>
      <w:r w:rsidR="000456F7" w:rsidRPr="004560AD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</w:t>
      </w:r>
      <w:r w:rsidR="000456F7">
        <w:rPr>
          <w:rFonts w:ascii="Times New Roman" w:hAnsi="Times New Roman" w:cs="Times New Roman"/>
          <w:b/>
          <w:bCs/>
          <w:sz w:val="26"/>
          <w:szCs w:val="26"/>
        </w:rPr>
        <w:t>Tax</w:t>
      </w:r>
      <w:r w:rsidR="000456F7" w:rsidRPr="004560AD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</w:t>
      </w:r>
      <w:r w:rsidR="000456F7">
        <w:rPr>
          <w:rFonts w:ascii="Times New Roman" w:hAnsi="Times New Roman" w:cs="Times New Roman"/>
          <w:b/>
          <w:bCs/>
          <w:sz w:val="26"/>
          <w:szCs w:val="26"/>
        </w:rPr>
        <w:t>List</w:t>
      </w:r>
      <w:r w:rsidR="000456F7" w:rsidRPr="004560AD">
        <w:rPr>
          <w:rFonts w:ascii="Times New Roman" w:hAnsi="Times New Roman" w:cs="Times New Roman"/>
          <w:b/>
          <w:bCs/>
          <w:sz w:val="26"/>
          <w:szCs w:val="26"/>
          <w:lang w:val="el-GR"/>
        </w:rPr>
        <w:t>)</w:t>
      </w:r>
      <w:r w:rsidR="000456F7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</w:t>
      </w:r>
      <w:r w:rsidR="004560AD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ΤΗΣ ΕΥΡΩΠΑΙΚΗΣ ΕΝΩΣΗΣ </w:t>
      </w:r>
      <w:r w:rsidR="000F445E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ΚΑΙ </w:t>
      </w:r>
      <w:r w:rsidR="00E65405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ΥΨΗΛΟΥ ΚΙΝΔΥΝΟΥ ΚΑΙ ΜΗ ΣΥΝΕΡΓΑΣΙΜΩΝ ΧΩΡΩΝ ΒΑΣΕΙ ΤΟΥ </w:t>
      </w:r>
      <w:r w:rsidR="00E65405">
        <w:rPr>
          <w:rFonts w:ascii="Times New Roman" w:hAnsi="Times New Roman" w:cs="Times New Roman"/>
          <w:b/>
          <w:bCs/>
          <w:sz w:val="26"/>
          <w:szCs w:val="26"/>
        </w:rPr>
        <w:t>FATF</w:t>
      </w:r>
    </w:p>
    <w:p w14:paraId="730F67C8" w14:textId="310D5446" w:rsidR="004560AD" w:rsidRDefault="004560AD" w:rsidP="00E6540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</w:p>
    <w:p w14:paraId="50D1EFE4" w14:textId="0AB1614D" w:rsidR="004560AD" w:rsidRDefault="004560AD" w:rsidP="00606588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  <w:bookmarkStart w:id="0" w:name="_Hlk136501848"/>
      <w:r w:rsidRPr="004560AD">
        <w:rPr>
          <w:rFonts w:ascii="Times New Roman" w:hAnsi="Times New Roman" w:cs="Times New Roman"/>
          <w:lang w:val="el-GR"/>
        </w:rPr>
        <w:t xml:space="preserve">Ο </w:t>
      </w:r>
      <w:proofErr w:type="spellStart"/>
      <w:r w:rsidRPr="004560AD">
        <w:rPr>
          <w:rFonts w:ascii="Times New Roman" w:hAnsi="Times New Roman" w:cs="Times New Roman"/>
          <w:lang w:val="el-GR"/>
        </w:rPr>
        <w:t>Παγκύπριος</w:t>
      </w:r>
      <w:proofErr w:type="spellEnd"/>
      <w:r w:rsidRPr="004560AD">
        <w:rPr>
          <w:rFonts w:ascii="Times New Roman" w:hAnsi="Times New Roman" w:cs="Times New Roman"/>
          <w:lang w:val="el-GR"/>
        </w:rPr>
        <w:t xml:space="preserve"> Δικηγορικός Σύλλογος </w:t>
      </w:r>
      <w:r w:rsidRPr="00B64667">
        <w:rPr>
          <w:rFonts w:ascii="Times New Roman" w:hAnsi="Times New Roman" w:cs="Times New Roman"/>
          <w:u w:val="single"/>
          <w:lang w:val="el-GR"/>
        </w:rPr>
        <w:t>ενημερώνει</w:t>
      </w:r>
      <w:r w:rsidRPr="004560AD">
        <w:rPr>
          <w:rFonts w:ascii="Times New Roman" w:hAnsi="Times New Roman" w:cs="Times New Roman"/>
          <w:lang w:val="el-GR"/>
        </w:rPr>
        <w:t xml:space="preserve"> τα μέλη του σχετικά με τα πιο κάτω:</w:t>
      </w:r>
    </w:p>
    <w:bookmarkEnd w:id="0"/>
    <w:p w14:paraId="3B5C52CD" w14:textId="6BE51D59" w:rsidR="004560AD" w:rsidRPr="004560AD" w:rsidRDefault="004560AD" w:rsidP="00606588">
      <w:pPr>
        <w:pStyle w:val="ListParagraph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lang w:val="el-GR"/>
        </w:rPr>
      </w:pPr>
      <w:r w:rsidRPr="004560AD">
        <w:rPr>
          <w:rFonts w:ascii="Times New Roman" w:hAnsi="Times New Roman" w:cs="Times New Roman"/>
          <w:lang w:val="el-GR"/>
        </w:rPr>
        <w:t xml:space="preserve">Αναθεωρημένη  λίστα της ΕΕ για τις τρίτες χώρες υψηλού κινδύνου της Ε.Ε, ημερομηνίας </w:t>
      </w:r>
      <w:r w:rsidR="00DE1985">
        <w:rPr>
          <w:rFonts w:ascii="Times New Roman" w:hAnsi="Times New Roman" w:cs="Times New Roman"/>
          <w:b/>
          <w:bCs/>
          <w:i/>
          <w:iCs/>
          <w:lang w:val="el-GR"/>
        </w:rPr>
        <w:t>18</w:t>
      </w:r>
      <w:r w:rsidRPr="00441F50">
        <w:rPr>
          <w:rFonts w:ascii="Times New Roman" w:hAnsi="Times New Roman" w:cs="Times New Roman"/>
          <w:b/>
          <w:bCs/>
          <w:i/>
          <w:iCs/>
          <w:lang w:val="el-GR"/>
        </w:rPr>
        <w:t xml:space="preserve"> </w:t>
      </w:r>
      <w:r w:rsidR="00DE1985">
        <w:rPr>
          <w:rFonts w:ascii="Times New Roman" w:hAnsi="Times New Roman" w:cs="Times New Roman"/>
          <w:b/>
          <w:bCs/>
          <w:i/>
          <w:iCs/>
          <w:lang w:val="el-GR"/>
        </w:rPr>
        <w:t>Αυγούστου</w:t>
      </w:r>
      <w:r w:rsidRPr="00441F50">
        <w:rPr>
          <w:rFonts w:ascii="Times New Roman" w:hAnsi="Times New Roman" w:cs="Times New Roman"/>
          <w:b/>
          <w:bCs/>
          <w:i/>
          <w:iCs/>
          <w:lang w:val="el-GR"/>
        </w:rPr>
        <w:t xml:space="preserve"> 202</w:t>
      </w:r>
      <w:r w:rsidR="00B64667">
        <w:rPr>
          <w:rFonts w:ascii="Times New Roman" w:hAnsi="Times New Roman" w:cs="Times New Roman"/>
          <w:b/>
          <w:bCs/>
          <w:i/>
          <w:iCs/>
          <w:lang w:val="el-GR"/>
        </w:rPr>
        <w:t>3</w:t>
      </w:r>
      <w:r w:rsidR="00441F50">
        <w:rPr>
          <w:rFonts w:ascii="Times New Roman" w:hAnsi="Times New Roman" w:cs="Times New Roman"/>
          <w:lang w:val="el-GR"/>
        </w:rPr>
        <w:t xml:space="preserve"> </w:t>
      </w:r>
      <w:r w:rsidR="003F4C98">
        <w:rPr>
          <w:rFonts w:ascii="Times New Roman" w:hAnsi="Times New Roman" w:cs="Times New Roman"/>
          <w:lang w:val="el-GR"/>
        </w:rPr>
        <w:t xml:space="preserve">και θα τεθεί σε ισχύ την </w:t>
      </w:r>
      <w:r w:rsidR="003F4C98" w:rsidRPr="0035512D">
        <w:rPr>
          <w:rFonts w:ascii="Times New Roman" w:hAnsi="Times New Roman" w:cs="Times New Roman"/>
          <w:b/>
          <w:bCs/>
          <w:lang w:val="el-GR"/>
        </w:rPr>
        <w:t>18</w:t>
      </w:r>
      <w:r w:rsidR="003F4C98" w:rsidRPr="0035512D">
        <w:rPr>
          <w:rFonts w:ascii="Times New Roman" w:hAnsi="Times New Roman" w:cs="Times New Roman"/>
          <w:b/>
          <w:bCs/>
          <w:vertAlign w:val="superscript"/>
          <w:lang w:val="el-GR"/>
        </w:rPr>
        <w:t>η</w:t>
      </w:r>
      <w:r w:rsidR="003F4C98" w:rsidRPr="0035512D">
        <w:rPr>
          <w:rFonts w:ascii="Times New Roman" w:hAnsi="Times New Roman" w:cs="Times New Roman"/>
          <w:b/>
          <w:bCs/>
          <w:lang w:val="el-GR"/>
        </w:rPr>
        <w:t xml:space="preserve"> Οκτωβρίου 2023</w:t>
      </w:r>
    </w:p>
    <w:p w14:paraId="51FA3174" w14:textId="77777777" w:rsidR="00DE1985" w:rsidRPr="006F03BE" w:rsidRDefault="00DE1985" w:rsidP="00606588">
      <w:pPr>
        <w:pStyle w:val="ListParagraph"/>
        <w:spacing w:before="120" w:line="240" w:lineRule="auto"/>
        <w:ind w:left="1276"/>
        <w:jc w:val="both"/>
        <w:rPr>
          <w:lang w:val="el-GR"/>
        </w:rPr>
      </w:pPr>
    </w:p>
    <w:p w14:paraId="6A973659" w14:textId="7363A60A" w:rsidR="00441F50" w:rsidRPr="006F03BE" w:rsidRDefault="00606588" w:rsidP="00606588">
      <w:pPr>
        <w:pStyle w:val="ListParagraph"/>
        <w:spacing w:before="120" w:line="240" w:lineRule="auto"/>
        <w:ind w:left="993"/>
        <w:jc w:val="both"/>
        <w:rPr>
          <w:rFonts w:ascii="Times New Roman" w:hAnsi="Times New Roman" w:cs="Times New Roman"/>
          <w:lang w:val="el-GR"/>
        </w:rPr>
      </w:pPr>
      <w:hyperlink r:id="rId8" w:history="1">
        <w:r w:rsidR="00DE1985" w:rsidRPr="00E031BE">
          <w:rPr>
            <w:rStyle w:val="Hyperlink"/>
          </w:rPr>
          <w:t>https</w:t>
        </w:r>
        <w:r w:rsidR="00DE1985" w:rsidRPr="006F03BE">
          <w:rPr>
            <w:rStyle w:val="Hyperlink"/>
            <w:lang w:val="el-GR"/>
          </w:rPr>
          <w:t>://</w:t>
        </w:r>
        <w:proofErr w:type="spellStart"/>
        <w:r w:rsidR="00DE1985" w:rsidRPr="00E031BE">
          <w:rPr>
            <w:rStyle w:val="Hyperlink"/>
          </w:rPr>
          <w:t>eur</w:t>
        </w:r>
        <w:proofErr w:type="spellEnd"/>
        <w:r w:rsidR="00DE1985" w:rsidRPr="006F03BE">
          <w:rPr>
            <w:rStyle w:val="Hyperlink"/>
            <w:lang w:val="el-GR"/>
          </w:rPr>
          <w:t>-</w:t>
        </w:r>
        <w:r w:rsidR="00DE1985" w:rsidRPr="00E031BE">
          <w:rPr>
            <w:rStyle w:val="Hyperlink"/>
          </w:rPr>
          <w:t>lex</w:t>
        </w:r>
        <w:r w:rsidR="00DE1985" w:rsidRPr="006F03BE">
          <w:rPr>
            <w:rStyle w:val="Hyperlink"/>
            <w:lang w:val="el-GR"/>
          </w:rPr>
          <w:t>.</w:t>
        </w:r>
        <w:proofErr w:type="spellStart"/>
        <w:r w:rsidR="00DE1985" w:rsidRPr="00E031BE">
          <w:rPr>
            <w:rStyle w:val="Hyperlink"/>
          </w:rPr>
          <w:t>europa</w:t>
        </w:r>
        <w:proofErr w:type="spellEnd"/>
        <w:r w:rsidR="00DE1985" w:rsidRPr="006F03BE">
          <w:rPr>
            <w:rStyle w:val="Hyperlink"/>
            <w:lang w:val="el-GR"/>
          </w:rPr>
          <w:t>.</w:t>
        </w:r>
        <w:proofErr w:type="spellStart"/>
        <w:r w:rsidR="00DE1985" w:rsidRPr="00E031BE">
          <w:rPr>
            <w:rStyle w:val="Hyperlink"/>
          </w:rPr>
          <w:t>eu</w:t>
        </w:r>
        <w:proofErr w:type="spellEnd"/>
        <w:r w:rsidR="00DE1985" w:rsidRPr="006F03BE">
          <w:rPr>
            <w:rStyle w:val="Hyperlink"/>
            <w:lang w:val="el-GR"/>
          </w:rPr>
          <w:t>/</w:t>
        </w:r>
        <w:r w:rsidR="00DE1985" w:rsidRPr="00E031BE">
          <w:rPr>
            <w:rStyle w:val="Hyperlink"/>
          </w:rPr>
          <w:t>legal</w:t>
        </w:r>
        <w:r w:rsidR="00DE1985" w:rsidRPr="006F03BE">
          <w:rPr>
            <w:rStyle w:val="Hyperlink"/>
            <w:lang w:val="el-GR"/>
          </w:rPr>
          <w:t>-</w:t>
        </w:r>
        <w:r w:rsidR="00DE1985" w:rsidRPr="00E031BE">
          <w:rPr>
            <w:rStyle w:val="Hyperlink"/>
          </w:rPr>
          <w:t>content</w:t>
        </w:r>
        <w:r w:rsidR="00DE1985" w:rsidRPr="006F03BE">
          <w:rPr>
            <w:rStyle w:val="Hyperlink"/>
            <w:lang w:val="el-GR"/>
          </w:rPr>
          <w:t>/</w:t>
        </w:r>
        <w:r w:rsidR="00DE1985" w:rsidRPr="00E031BE">
          <w:rPr>
            <w:rStyle w:val="Hyperlink"/>
          </w:rPr>
          <w:t>EN</w:t>
        </w:r>
        <w:r w:rsidR="00DE1985" w:rsidRPr="006F03BE">
          <w:rPr>
            <w:rStyle w:val="Hyperlink"/>
            <w:lang w:val="el-GR"/>
          </w:rPr>
          <w:t>/</w:t>
        </w:r>
        <w:r w:rsidR="00DE1985" w:rsidRPr="00E031BE">
          <w:rPr>
            <w:rStyle w:val="Hyperlink"/>
          </w:rPr>
          <w:t>TXT</w:t>
        </w:r>
        <w:r w:rsidR="00DE1985" w:rsidRPr="006F03BE">
          <w:rPr>
            <w:rStyle w:val="Hyperlink"/>
            <w:lang w:val="el-GR"/>
          </w:rPr>
          <w:t>/</w:t>
        </w:r>
        <w:r w:rsidR="00DE1985" w:rsidRPr="00E031BE">
          <w:rPr>
            <w:rStyle w:val="Hyperlink"/>
          </w:rPr>
          <w:t>PDF</w:t>
        </w:r>
        <w:r w:rsidR="00DE1985" w:rsidRPr="006F03BE">
          <w:rPr>
            <w:rStyle w:val="Hyperlink"/>
            <w:lang w:val="el-GR"/>
          </w:rPr>
          <w:t>/?</w:t>
        </w:r>
        <w:proofErr w:type="spellStart"/>
        <w:r w:rsidR="00DE1985" w:rsidRPr="00E031BE">
          <w:rPr>
            <w:rStyle w:val="Hyperlink"/>
          </w:rPr>
          <w:t>uri</w:t>
        </w:r>
        <w:proofErr w:type="spellEnd"/>
        <w:r w:rsidR="00DE1985" w:rsidRPr="006F03BE">
          <w:rPr>
            <w:rStyle w:val="Hyperlink"/>
            <w:lang w:val="el-GR"/>
          </w:rPr>
          <w:t>=</w:t>
        </w:r>
        <w:r w:rsidR="00DE1985" w:rsidRPr="00E031BE">
          <w:rPr>
            <w:rStyle w:val="Hyperlink"/>
          </w:rPr>
          <w:t>CELEX</w:t>
        </w:r>
        <w:r w:rsidR="00DE1985" w:rsidRPr="006F03BE">
          <w:rPr>
            <w:rStyle w:val="Hyperlink"/>
            <w:lang w:val="el-GR"/>
          </w:rPr>
          <w:t>:32023</w:t>
        </w:r>
        <w:r w:rsidR="00DE1985" w:rsidRPr="00E031BE">
          <w:rPr>
            <w:rStyle w:val="Hyperlink"/>
          </w:rPr>
          <w:t>R</w:t>
        </w:r>
        <w:r w:rsidR="00DE1985" w:rsidRPr="006F03BE">
          <w:rPr>
            <w:rStyle w:val="Hyperlink"/>
            <w:lang w:val="el-GR"/>
          </w:rPr>
          <w:t>2070&amp;</w:t>
        </w:r>
        <w:proofErr w:type="spellStart"/>
        <w:r w:rsidR="00DE1985" w:rsidRPr="00E031BE">
          <w:rPr>
            <w:rStyle w:val="Hyperlink"/>
          </w:rPr>
          <w:t>qid</w:t>
        </w:r>
        <w:proofErr w:type="spellEnd"/>
        <w:r w:rsidR="00DE1985" w:rsidRPr="006F03BE">
          <w:rPr>
            <w:rStyle w:val="Hyperlink"/>
            <w:lang w:val="el-GR"/>
          </w:rPr>
          <w:t>=1696338868093</w:t>
        </w:r>
      </w:hyperlink>
      <w:r w:rsidR="00DE1985" w:rsidRPr="006F03BE">
        <w:rPr>
          <w:lang w:val="el-GR"/>
        </w:rPr>
        <w:t xml:space="preserve"> </w:t>
      </w:r>
    </w:p>
    <w:p w14:paraId="1C556E36" w14:textId="77777777" w:rsidR="00DE1985" w:rsidRDefault="00DE1985" w:rsidP="00606588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</w:p>
    <w:p w14:paraId="5CB67DEC" w14:textId="50E5D627" w:rsidR="00B64667" w:rsidRDefault="00B64667" w:rsidP="00606588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4560AD">
        <w:rPr>
          <w:rFonts w:ascii="Times New Roman" w:hAnsi="Times New Roman" w:cs="Times New Roman"/>
          <w:lang w:val="el-GR"/>
        </w:rPr>
        <w:t xml:space="preserve">Ο </w:t>
      </w:r>
      <w:proofErr w:type="spellStart"/>
      <w:r w:rsidRPr="004560AD">
        <w:rPr>
          <w:rFonts w:ascii="Times New Roman" w:hAnsi="Times New Roman" w:cs="Times New Roman"/>
          <w:lang w:val="el-GR"/>
        </w:rPr>
        <w:t>Παγκύπριος</w:t>
      </w:r>
      <w:proofErr w:type="spellEnd"/>
      <w:r w:rsidRPr="004560AD">
        <w:rPr>
          <w:rFonts w:ascii="Times New Roman" w:hAnsi="Times New Roman" w:cs="Times New Roman"/>
          <w:lang w:val="el-GR"/>
        </w:rPr>
        <w:t xml:space="preserve"> Δικηγορικός Σύλλογος </w:t>
      </w:r>
      <w:r w:rsidRPr="00B64667">
        <w:rPr>
          <w:rFonts w:ascii="Times New Roman" w:hAnsi="Times New Roman" w:cs="Times New Roman"/>
          <w:u w:val="single"/>
          <w:lang w:val="el-GR"/>
        </w:rPr>
        <w:t>υπενθυμίζει</w:t>
      </w:r>
      <w:r w:rsidRPr="004560AD">
        <w:rPr>
          <w:rFonts w:ascii="Times New Roman" w:hAnsi="Times New Roman" w:cs="Times New Roman"/>
          <w:lang w:val="el-GR"/>
        </w:rPr>
        <w:t xml:space="preserve"> τα μέλη του σχετικά με τα πιο κάτω:</w:t>
      </w:r>
    </w:p>
    <w:p w14:paraId="4FF20877" w14:textId="77777777" w:rsidR="00E65405" w:rsidRPr="00442DDA" w:rsidRDefault="00E65405" w:rsidP="00606588">
      <w:pPr>
        <w:pStyle w:val="ListParagraph"/>
        <w:spacing w:before="120" w:line="240" w:lineRule="auto"/>
        <w:ind w:left="1276"/>
        <w:jc w:val="both"/>
        <w:rPr>
          <w:rFonts w:ascii="Times New Roman" w:hAnsi="Times New Roman" w:cs="Times New Roman"/>
          <w:lang w:val="el-GR"/>
        </w:rPr>
      </w:pPr>
    </w:p>
    <w:p w14:paraId="539F4778" w14:textId="4EEFB8BF" w:rsidR="004560AD" w:rsidRDefault="004560AD" w:rsidP="00606588">
      <w:pPr>
        <w:pStyle w:val="ListParagraph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lang w:val="el-GR"/>
        </w:rPr>
      </w:pPr>
      <w:r w:rsidRPr="004560AD">
        <w:rPr>
          <w:rFonts w:ascii="Times New Roman" w:hAnsi="Times New Roman" w:cs="Times New Roman"/>
          <w:lang w:val="el-GR"/>
        </w:rPr>
        <w:t xml:space="preserve">Αναθεωρημένη λίστα της ΕΕ αναφορικά με τις μη συνεργάσιμες περιοχές φορολογικής  δικαιοδοσίας, ημερομηνίας </w:t>
      </w:r>
      <w:r w:rsidRPr="004560AD">
        <w:rPr>
          <w:rFonts w:ascii="Times New Roman" w:hAnsi="Times New Roman" w:cs="Times New Roman"/>
          <w:b/>
          <w:bCs/>
          <w:i/>
          <w:iCs/>
          <w:lang w:val="el-GR"/>
        </w:rPr>
        <w:t>14 Φεβρουαρίου 2023</w:t>
      </w:r>
      <w:r w:rsidRPr="004560AD">
        <w:rPr>
          <w:rFonts w:ascii="Times New Roman" w:hAnsi="Times New Roman" w:cs="Times New Roman"/>
          <w:lang w:val="el-GR"/>
        </w:rPr>
        <w:t xml:space="preserve"> (EU</w:t>
      </w:r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4560AD">
        <w:rPr>
          <w:rFonts w:ascii="Times New Roman" w:hAnsi="Times New Roman" w:cs="Times New Roman"/>
          <w:lang w:val="el-GR"/>
        </w:rPr>
        <w:t>TaxList</w:t>
      </w:r>
      <w:proofErr w:type="spellEnd"/>
      <w:r w:rsidRPr="004560AD">
        <w:rPr>
          <w:rFonts w:ascii="Times New Roman" w:hAnsi="Times New Roman" w:cs="Times New Roman"/>
          <w:lang w:val="el-GR"/>
        </w:rPr>
        <w:t xml:space="preserve">) </w:t>
      </w:r>
    </w:p>
    <w:p w14:paraId="22825A9C" w14:textId="77777777" w:rsidR="00606588" w:rsidRPr="004560AD" w:rsidRDefault="00606588" w:rsidP="00606588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lang w:val="el-GR"/>
        </w:rPr>
      </w:pPr>
    </w:p>
    <w:p w14:paraId="2085BA83" w14:textId="77777777" w:rsidR="004560AD" w:rsidRPr="004560AD" w:rsidRDefault="00606588" w:rsidP="00606588">
      <w:pPr>
        <w:pStyle w:val="ListParagraph"/>
        <w:numPr>
          <w:ilvl w:val="0"/>
          <w:numId w:val="15"/>
        </w:numPr>
        <w:spacing w:after="0" w:line="240" w:lineRule="auto"/>
        <w:ind w:left="993"/>
        <w:jc w:val="both"/>
        <w:rPr>
          <w:rStyle w:val="Hyperlink"/>
          <w:rFonts w:ascii="Times New Roman" w:hAnsi="Times New Roman" w:cs="Times New Roman"/>
          <w:lang w:val="el-GR"/>
        </w:rPr>
      </w:pPr>
      <w:hyperlink r:id="rId9" w:history="1">
        <w:r w:rsidR="004560AD" w:rsidRPr="004560AD">
          <w:rPr>
            <w:rStyle w:val="Hyperlink"/>
            <w:rFonts w:ascii="Times New Roman" w:hAnsi="Times New Roman" w:cs="Times New Roman"/>
            <w:lang w:val="el-GR"/>
          </w:rPr>
          <w:t>https://taxation-customs.ec.europa.eu/common-eu-list-third-country-jurisdictions-tax-purposes_en</w:t>
        </w:r>
      </w:hyperlink>
    </w:p>
    <w:p w14:paraId="4550E6FE" w14:textId="133BA2FC" w:rsidR="004560AD" w:rsidRDefault="004560AD" w:rsidP="00606588">
      <w:pPr>
        <w:pStyle w:val="ListParagraph"/>
        <w:spacing w:line="240" w:lineRule="auto"/>
        <w:ind w:left="993"/>
        <w:jc w:val="both"/>
        <w:rPr>
          <w:rFonts w:ascii="Times New Roman" w:hAnsi="Times New Roman" w:cs="Times New Roman"/>
          <w:lang w:val="el-GR"/>
        </w:rPr>
      </w:pPr>
    </w:p>
    <w:p w14:paraId="71E86AA5" w14:textId="77777777" w:rsidR="00E65405" w:rsidRPr="004560AD" w:rsidRDefault="00E65405" w:rsidP="00606588">
      <w:pPr>
        <w:pStyle w:val="ListParagraph"/>
        <w:spacing w:line="240" w:lineRule="auto"/>
        <w:ind w:left="993"/>
        <w:jc w:val="both"/>
        <w:rPr>
          <w:rFonts w:ascii="Times New Roman" w:hAnsi="Times New Roman" w:cs="Times New Roman"/>
          <w:lang w:val="el-GR"/>
        </w:rPr>
      </w:pPr>
    </w:p>
    <w:p w14:paraId="4BBA68FA" w14:textId="1509D266" w:rsidR="004560AD" w:rsidRDefault="004560AD" w:rsidP="00606588">
      <w:pPr>
        <w:pStyle w:val="ListParagraph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lang w:val="el-GR"/>
        </w:rPr>
      </w:pPr>
      <w:r w:rsidRPr="004560AD">
        <w:rPr>
          <w:rFonts w:ascii="Times New Roman" w:hAnsi="Times New Roman" w:cs="Times New Roman"/>
          <w:lang w:val="el-GR"/>
        </w:rPr>
        <w:t xml:space="preserve">Αναθεωρημένη λίστα μη συνεργάσιμων και άλλων δικαιοδοσιών υπό παρακολούθηση του </w:t>
      </w:r>
      <w:r w:rsidRPr="004560AD">
        <w:rPr>
          <w:rFonts w:ascii="Times New Roman" w:hAnsi="Times New Roman" w:cs="Times New Roman"/>
        </w:rPr>
        <w:t>Financial</w:t>
      </w:r>
      <w:r w:rsidRPr="004560AD">
        <w:rPr>
          <w:rFonts w:ascii="Times New Roman" w:hAnsi="Times New Roman" w:cs="Times New Roman"/>
          <w:lang w:val="el-GR"/>
        </w:rPr>
        <w:t xml:space="preserve"> </w:t>
      </w:r>
      <w:r w:rsidRPr="004560AD">
        <w:rPr>
          <w:rFonts w:ascii="Times New Roman" w:hAnsi="Times New Roman" w:cs="Times New Roman"/>
        </w:rPr>
        <w:t>Action</w:t>
      </w:r>
      <w:r w:rsidRPr="004560AD">
        <w:rPr>
          <w:rFonts w:ascii="Times New Roman" w:hAnsi="Times New Roman" w:cs="Times New Roman"/>
          <w:lang w:val="el-GR"/>
        </w:rPr>
        <w:t xml:space="preserve"> </w:t>
      </w:r>
      <w:r w:rsidRPr="004560AD">
        <w:rPr>
          <w:rFonts w:ascii="Times New Roman" w:hAnsi="Times New Roman" w:cs="Times New Roman"/>
        </w:rPr>
        <w:t>Task</w:t>
      </w:r>
      <w:r w:rsidRPr="004560AD">
        <w:rPr>
          <w:rFonts w:ascii="Times New Roman" w:hAnsi="Times New Roman" w:cs="Times New Roman"/>
          <w:lang w:val="el-GR"/>
        </w:rPr>
        <w:t xml:space="preserve"> </w:t>
      </w:r>
      <w:r w:rsidRPr="004560AD">
        <w:rPr>
          <w:rFonts w:ascii="Times New Roman" w:hAnsi="Times New Roman" w:cs="Times New Roman"/>
        </w:rPr>
        <w:t>Force</w:t>
      </w:r>
      <w:r w:rsidRPr="004560AD">
        <w:rPr>
          <w:rFonts w:ascii="Times New Roman" w:hAnsi="Times New Roman" w:cs="Times New Roman"/>
          <w:lang w:val="el-GR"/>
        </w:rPr>
        <w:t xml:space="preserve"> (</w:t>
      </w:r>
      <w:r w:rsidRPr="004560AD">
        <w:rPr>
          <w:rFonts w:ascii="Times New Roman" w:hAnsi="Times New Roman" w:cs="Times New Roman"/>
        </w:rPr>
        <w:t>FATF</w:t>
      </w:r>
      <w:r w:rsidRPr="004560AD">
        <w:rPr>
          <w:rFonts w:ascii="Times New Roman" w:hAnsi="Times New Roman" w:cs="Times New Roman"/>
          <w:lang w:val="el-GR"/>
        </w:rPr>
        <w:t xml:space="preserve">), ημερομηνίας </w:t>
      </w:r>
      <w:r w:rsidRPr="004560AD">
        <w:rPr>
          <w:rFonts w:ascii="Times New Roman" w:hAnsi="Times New Roman" w:cs="Times New Roman"/>
          <w:b/>
          <w:bCs/>
          <w:i/>
          <w:iCs/>
          <w:lang w:val="el-GR"/>
        </w:rPr>
        <w:t>2</w:t>
      </w:r>
      <w:r w:rsidR="003F4C98">
        <w:rPr>
          <w:rFonts w:ascii="Times New Roman" w:hAnsi="Times New Roman" w:cs="Times New Roman"/>
          <w:b/>
          <w:bCs/>
          <w:i/>
          <w:iCs/>
          <w:lang w:val="el-GR"/>
        </w:rPr>
        <w:t>3 Ιουνίο</w:t>
      </w:r>
      <w:r w:rsidR="00F1631A">
        <w:rPr>
          <w:rFonts w:ascii="Times New Roman" w:hAnsi="Times New Roman" w:cs="Times New Roman"/>
          <w:b/>
          <w:bCs/>
          <w:i/>
          <w:iCs/>
          <w:lang w:val="el-GR"/>
        </w:rPr>
        <w:t>υ</w:t>
      </w:r>
      <w:r w:rsidRPr="004560AD">
        <w:rPr>
          <w:rFonts w:ascii="Times New Roman" w:hAnsi="Times New Roman" w:cs="Times New Roman"/>
          <w:b/>
          <w:bCs/>
          <w:i/>
          <w:iCs/>
          <w:lang w:val="el-GR"/>
        </w:rPr>
        <w:t xml:space="preserve"> 202</w:t>
      </w:r>
      <w:r w:rsidR="00F1631A">
        <w:rPr>
          <w:rFonts w:ascii="Times New Roman" w:hAnsi="Times New Roman" w:cs="Times New Roman"/>
          <w:b/>
          <w:bCs/>
          <w:i/>
          <w:iCs/>
          <w:lang w:val="el-GR"/>
        </w:rPr>
        <w:t>3</w:t>
      </w:r>
    </w:p>
    <w:p w14:paraId="7E584999" w14:textId="77777777" w:rsidR="00606588" w:rsidRDefault="00606588" w:rsidP="00606588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lang w:val="el-GR"/>
        </w:rPr>
      </w:pPr>
    </w:p>
    <w:p w14:paraId="02FE0AAC" w14:textId="77777777" w:rsidR="00606588" w:rsidRPr="00606588" w:rsidRDefault="00606588" w:rsidP="00606588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lang w:val="el-GR"/>
        </w:rPr>
      </w:pPr>
      <w:hyperlink r:id="rId10" w:history="1">
        <w:r w:rsidRPr="00AB57B7">
          <w:rPr>
            <w:rStyle w:val="Hyperlink"/>
          </w:rPr>
          <w:t>https</w:t>
        </w:r>
        <w:r w:rsidRPr="00606588">
          <w:rPr>
            <w:rStyle w:val="Hyperlink"/>
            <w:lang w:val="el-GR"/>
          </w:rPr>
          <w:t>://</w:t>
        </w:r>
        <w:r w:rsidRPr="00AB57B7">
          <w:rPr>
            <w:rStyle w:val="Hyperlink"/>
          </w:rPr>
          <w:t>www</w:t>
        </w:r>
        <w:r w:rsidRPr="00606588">
          <w:rPr>
            <w:rStyle w:val="Hyperlink"/>
            <w:lang w:val="el-GR"/>
          </w:rPr>
          <w:t>.</w:t>
        </w:r>
        <w:r w:rsidRPr="00AB57B7">
          <w:rPr>
            <w:rStyle w:val="Hyperlink"/>
          </w:rPr>
          <w:t>fatf</w:t>
        </w:r>
        <w:r w:rsidRPr="00606588">
          <w:rPr>
            <w:rStyle w:val="Hyperlink"/>
            <w:lang w:val="el-GR"/>
          </w:rPr>
          <w:t>-</w:t>
        </w:r>
        <w:r w:rsidRPr="00AB57B7">
          <w:rPr>
            <w:rStyle w:val="Hyperlink"/>
          </w:rPr>
          <w:t>gafi</w:t>
        </w:r>
        <w:r w:rsidRPr="00606588">
          <w:rPr>
            <w:rStyle w:val="Hyperlink"/>
            <w:lang w:val="el-GR"/>
          </w:rPr>
          <w:t>.</w:t>
        </w:r>
        <w:r w:rsidRPr="00AB57B7">
          <w:rPr>
            <w:rStyle w:val="Hyperlink"/>
          </w:rPr>
          <w:t>org</w:t>
        </w:r>
        <w:r w:rsidRPr="00606588">
          <w:rPr>
            <w:rStyle w:val="Hyperlink"/>
            <w:lang w:val="el-GR"/>
          </w:rPr>
          <w:t>/</w:t>
        </w:r>
        <w:r w:rsidRPr="00AB57B7">
          <w:rPr>
            <w:rStyle w:val="Hyperlink"/>
          </w:rPr>
          <w:t>en</w:t>
        </w:r>
        <w:r w:rsidRPr="00606588">
          <w:rPr>
            <w:rStyle w:val="Hyperlink"/>
            <w:lang w:val="el-GR"/>
          </w:rPr>
          <w:t>/</w:t>
        </w:r>
        <w:r w:rsidRPr="00AB57B7">
          <w:rPr>
            <w:rStyle w:val="Hyperlink"/>
          </w:rPr>
          <w:t>publications</w:t>
        </w:r>
        <w:r w:rsidRPr="00606588">
          <w:rPr>
            <w:rStyle w:val="Hyperlink"/>
            <w:lang w:val="el-GR"/>
          </w:rPr>
          <w:t>/</w:t>
        </w:r>
        <w:r w:rsidRPr="00AB57B7">
          <w:rPr>
            <w:rStyle w:val="Hyperlink"/>
          </w:rPr>
          <w:t>High</w:t>
        </w:r>
        <w:r w:rsidRPr="00606588">
          <w:rPr>
            <w:rStyle w:val="Hyperlink"/>
            <w:lang w:val="el-GR"/>
          </w:rPr>
          <w:t>-</w:t>
        </w:r>
        <w:r w:rsidRPr="00AB57B7">
          <w:rPr>
            <w:rStyle w:val="Hyperlink"/>
          </w:rPr>
          <w:t>risk</w:t>
        </w:r>
        <w:r w:rsidRPr="00606588">
          <w:rPr>
            <w:rStyle w:val="Hyperlink"/>
            <w:lang w:val="el-GR"/>
          </w:rPr>
          <w:t>-</w:t>
        </w:r>
        <w:r w:rsidRPr="00AB57B7">
          <w:rPr>
            <w:rStyle w:val="Hyperlink"/>
          </w:rPr>
          <w:t>and</w:t>
        </w:r>
        <w:r w:rsidRPr="00606588">
          <w:rPr>
            <w:rStyle w:val="Hyperlink"/>
            <w:lang w:val="el-GR"/>
          </w:rPr>
          <w:t>-</w:t>
        </w:r>
        <w:r w:rsidRPr="00AB57B7">
          <w:rPr>
            <w:rStyle w:val="Hyperlink"/>
          </w:rPr>
          <w:t>other</w:t>
        </w:r>
        <w:r w:rsidRPr="00606588">
          <w:rPr>
            <w:rStyle w:val="Hyperlink"/>
            <w:lang w:val="el-GR"/>
          </w:rPr>
          <w:t>-</w:t>
        </w:r>
        <w:r w:rsidRPr="00AB57B7">
          <w:rPr>
            <w:rStyle w:val="Hyperlink"/>
          </w:rPr>
          <w:t>monitored</w:t>
        </w:r>
        <w:r w:rsidRPr="00606588">
          <w:rPr>
            <w:rStyle w:val="Hyperlink"/>
            <w:lang w:val="el-GR"/>
          </w:rPr>
          <w:t>-</w:t>
        </w:r>
        <w:r w:rsidRPr="00AB57B7">
          <w:rPr>
            <w:rStyle w:val="Hyperlink"/>
          </w:rPr>
          <w:t>jurisdictions</w:t>
        </w:r>
        <w:r w:rsidRPr="00606588">
          <w:rPr>
            <w:rStyle w:val="Hyperlink"/>
            <w:lang w:val="el-GR"/>
          </w:rPr>
          <w:t>/</w:t>
        </w:r>
        <w:r w:rsidRPr="00AB57B7">
          <w:rPr>
            <w:rStyle w:val="Hyperlink"/>
          </w:rPr>
          <w:t>Increased</w:t>
        </w:r>
        <w:r w:rsidRPr="00606588">
          <w:rPr>
            <w:rStyle w:val="Hyperlink"/>
            <w:lang w:val="el-GR"/>
          </w:rPr>
          <w:t>-</w:t>
        </w:r>
        <w:r w:rsidRPr="00AB57B7">
          <w:rPr>
            <w:rStyle w:val="Hyperlink"/>
          </w:rPr>
          <w:t>monitoring</w:t>
        </w:r>
        <w:r w:rsidRPr="00606588">
          <w:rPr>
            <w:rStyle w:val="Hyperlink"/>
            <w:lang w:val="el-GR"/>
          </w:rPr>
          <w:t>-</w:t>
        </w:r>
        <w:r w:rsidRPr="00AB57B7">
          <w:rPr>
            <w:rStyle w:val="Hyperlink"/>
          </w:rPr>
          <w:t>june</w:t>
        </w:r>
        <w:r w:rsidRPr="00606588">
          <w:rPr>
            <w:rStyle w:val="Hyperlink"/>
            <w:lang w:val="el-GR"/>
          </w:rPr>
          <w:t>-2023.</w:t>
        </w:r>
        <w:r w:rsidRPr="00AB57B7">
          <w:rPr>
            <w:rStyle w:val="Hyperlink"/>
          </w:rPr>
          <w:t>html</w:t>
        </w:r>
      </w:hyperlink>
    </w:p>
    <w:p w14:paraId="22A83145" w14:textId="77777777" w:rsidR="00606588" w:rsidRPr="00606588" w:rsidRDefault="00606588" w:rsidP="00606588">
      <w:pPr>
        <w:spacing w:after="0" w:line="240" w:lineRule="auto"/>
        <w:ind w:left="993"/>
        <w:jc w:val="both"/>
        <w:rPr>
          <w:rFonts w:ascii="Times New Roman" w:hAnsi="Times New Roman" w:cs="Times New Roman"/>
          <w:lang w:val="el-GR"/>
        </w:rPr>
      </w:pPr>
    </w:p>
    <w:p w14:paraId="4057F335" w14:textId="574EBEE4" w:rsidR="004560AD" w:rsidRPr="00606588" w:rsidRDefault="00606588" w:rsidP="00606588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lang w:val="el-GR"/>
        </w:rPr>
      </w:pPr>
      <w:r w:rsidRPr="00606588">
        <w:rPr>
          <w:lang w:val="el-GR"/>
        </w:rPr>
        <w:t xml:space="preserve"> </w:t>
      </w:r>
      <w:hyperlink r:id="rId11" w:history="1">
        <w:r w:rsidRPr="00AB57B7">
          <w:rPr>
            <w:rStyle w:val="Hyperlink"/>
          </w:rPr>
          <w:t>https</w:t>
        </w:r>
        <w:r w:rsidRPr="00AB57B7">
          <w:rPr>
            <w:rStyle w:val="Hyperlink"/>
            <w:lang w:val="el-GR"/>
          </w:rPr>
          <w:t>://</w:t>
        </w:r>
        <w:r w:rsidRPr="00AB57B7">
          <w:rPr>
            <w:rStyle w:val="Hyperlink"/>
          </w:rPr>
          <w:t>www</w:t>
        </w:r>
        <w:r w:rsidRPr="00AB57B7">
          <w:rPr>
            <w:rStyle w:val="Hyperlink"/>
            <w:lang w:val="el-GR"/>
          </w:rPr>
          <w:t>.</w:t>
        </w:r>
        <w:proofErr w:type="spellStart"/>
        <w:r w:rsidRPr="00AB57B7">
          <w:rPr>
            <w:rStyle w:val="Hyperlink"/>
          </w:rPr>
          <w:t>fatf</w:t>
        </w:r>
        <w:proofErr w:type="spellEnd"/>
        <w:r w:rsidRPr="00AB57B7">
          <w:rPr>
            <w:rStyle w:val="Hyperlink"/>
            <w:lang w:val="el-GR"/>
          </w:rPr>
          <w:t>-</w:t>
        </w:r>
        <w:proofErr w:type="spellStart"/>
        <w:r w:rsidRPr="00AB57B7">
          <w:rPr>
            <w:rStyle w:val="Hyperlink"/>
          </w:rPr>
          <w:t>gafi</w:t>
        </w:r>
        <w:proofErr w:type="spellEnd"/>
        <w:r w:rsidRPr="00AB57B7">
          <w:rPr>
            <w:rStyle w:val="Hyperlink"/>
            <w:lang w:val="el-GR"/>
          </w:rPr>
          <w:t>.</w:t>
        </w:r>
        <w:r w:rsidRPr="00AB57B7">
          <w:rPr>
            <w:rStyle w:val="Hyperlink"/>
          </w:rPr>
          <w:t>org</w:t>
        </w:r>
        <w:r w:rsidRPr="00AB57B7">
          <w:rPr>
            <w:rStyle w:val="Hyperlink"/>
            <w:lang w:val="el-GR"/>
          </w:rPr>
          <w:t>/</w:t>
        </w:r>
        <w:proofErr w:type="spellStart"/>
        <w:r w:rsidRPr="00AB57B7">
          <w:rPr>
            <w:rStyle w:val="Hyperlink"/>
          </w:rPr>
          <w:t>en</w:t>
        </w:r>
        <w:proofErr w:type="spellEnd"/>
        <w:r w:rsidRPr="00AB57B7">
          <w:rPr>
            <w:rStyle w:val="Hyperlink"/>
            <w:lang w:val="el-GR"/>
          </w:rPr>
          <w:t>/</w:t>
        </w:r>
        <w:r w:rsidRPr="00AB57B7">
          <w:rPr>
            <w:rStyle w:val="Hyperlink"/>
          </w:rPr>
          <w:t>publications</w:t>
        </w:r>
        <w:r w:rsidRPr="00AB57B7">
          <w:rPr>
            <w:rStyle w:val="Hyperlink"/>
            <w:lang w:val="el-GR"/>
          </w:rPr>
          <w:t>/</w:t>
        </w:r>
        <w:r w:rsidRPr="00AB57B7">
          <w:rPr>
            <w:rStyle w:val="Hyperlink"/>
          </w:rPr>
          <w:t>High</w:t>
        </w:r>
        <w:r w:rsidRPr="00AB57B7">
          <w:rPr>
            <w:rStyle w:val="Hyperlink"/>
            <w:lang w:val="el-GR"/>
          </w:rPr>
          <w:t>-</w:t>
        </w:r>
        <w:r w:rsidRPr="00AB57B7">
          <w:rPr>
            <w:rStyle w:val="Hyperlink"/>
          </w:rPr>
          <w:t>risk</w:t>
        </w:r>
        <w:r w:rsidRPr="00AB57B7">
          <w:rPr>
            <w:rStyle w:val="Hyperlink"/>
            <w:lang w:val="el-GR"/>
          </w:rPr>
          <w:t>-</w:t>
        </w:r>
        <w:r w:rsidRPr="00AB57B7">
          <w:rPr>
            <w:rStyle w:val="Hyperlink"/>
          </w:rPr>
          <w:t>and</w:t>
        </w:r>
        <w:r w:rsidRPr="00AB57B7">
          <w:rPr>
            <w:rStyle w:val="Hyperlink"/>
            <w:lang w:val="el-GR"/>
          </w:rPr>
          <w:t>-</w:t>
        </w:r>
        <w:r w:rsidRPr="00AB57B7">
          <w:rPr>
            <w:rStyle w:val="Hyperlink"/>
          </w:rPr>
          <w:t>other</w:t>
        </w:r>
        <w:r w:rsidRPr="00AB57B7">
          <w:rPr>
            <w:rStyle w:val="Hyperlink"/>
            <w:lang w:val="el-GR"/>
          </w:rPr>
          <w:t>-</w:t>
        </w:r>
        <w:r w:rsidRPr="00AB57B7">
          <w:rPr>
            <w:rStyle w:val="Hyperlink"/>
          </w:rPr>
          <w:t>monitored</w:t>
        </w:r>
        <w:r w:rsidRPr="00AB57B7">
          <w:rPr>
            <w:rStyle w:val="Hyperlink"/>
            <w:lang w:val="el-GR"/>
          </w:rPr>
          <w:t>-</w:t>
        </w:r>
        <w:r w:rsidRPr="00AB57B7">
          <w:rPr>
            <w:rStyle w:val="Hyperlink"/>
          </w:rPr>
          <w:t>jurisdictions</w:t>
        </w:r>
        <w:r w:rsidRPr="00AB57B7">
          <w:rPr>
            <w:rStyle w:val="Hyperlink"/>
            <w:lang w:val="el-GR"/>
          </w:rPr>
          <w:t>/</w:t>
        </w:r>
        <w:r w:rsidRPr="00AB57B7">
          <w:rPr>
            <w:rStyle w:val="Hyperlink"/>
          </w:rPr>
          <w:t>Call</w:t>
        </w:r>
        <w:r w:rsidRPr="00AB57B7">
          <w:rPr>
            <w:rStyle w:val="Hyperlink"/>
            <w:lang w:val="el-GR"/>
          </w:rPr>
          <w:t>-</w:t>
        </w:r>
        <w:r w:rsidRPr="00AB57B7">
          <w:rPr>
            <w:rStyle w:val="Hyperlink"/>
          </w:rPr>
          <w:t>for</w:t>
        </w:r>
        <w:r w:rsidRPr="00AB57B7">
          <w:rPr>
            <w:rStyle w:val="Hyperlink"/>
            <w:lang w:val="el-GR"/>
          </w:rPr>
          <w:t>-</w:t>
        </w:r>
        <w:r w:rsidRPr="00AB57B7">
          <w:rPr>
            <w:rStyle w:val="Hyperlink"/>
          </w:rPr>
          <w:t>action</w:t>
        </w:r>
        <w:r w:rsidRPr="00AB57B7">
          <w:rPr>
            <w:rStyle w:val="Hyperlink"/>
            <w:lang w:val="el-GR"/>
          </w:rPr>
          <w:t>-</w:t>
        </w:r>
        <w:r w:rsidRPr="00AB57B7">
          <w:rPr>
            <w:rStyle w:val="Hyperlink"/>
          </w:rPr>
          <w:t>June</w:t>
        </w:r>
        <w:r w:rsidRPr="00AB57B7">
          <w:rPr>
            <w:rStyle w:val="Hyperlink"/>
            <w:lang w:val="el-GR"/>
          </w:rPr>
          <w:t>-2023.</w:t>
        </w:r>
        <w:r w:rsidRPr="00AB57B7">
          <w:rPr>
            <w:rStyle w:val="Hyperlink"/>
          </w:rPr>
          <w:t>html</w:t>
        </w:r>
      </w:hyperlink>
      <w:r w:rsidRPr="00606588">
        <w:rPr>
          <w:lang w:val="el-GR"/>
        </w:rPr>
        <w:t xml:space="preserve"> </w:t>
      </w:r>
    </w:p>
    <w:p w14:paraId="09C02C24" w14:textId="77777777" w:rsidR="00606588" w:rsidRPr="00606588" w:rsidRDefault="00606588" w:rsidP="006065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l-GR"/>
        </w:rPr>
      </w:pPr>
    </w:p>
    <w:p w14:paraId="60F63187" w14:textId="003878C3" w:rsidR="00B64667" w:rsidRPr="00606588" w:rsidRDefault="00B64667" w:rsidP="00606588">
      <w:pPr>
        <w:pStyle w:val="ListParagraph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lang w:val="el-GR"/>
        </w:rPr>
      </w:pPr>
      <w:r>
        <w:rPr>
          <w:rFonts w:ascii="Times New Roman" w:hAnsi="Times New Roman" w:cs="Times New Roman"/>
          <w:lang w:val="el-GR"/>
        </w:rPr>
        <w:t>Τον Δείκτη Παγκόσμιας Τρομοκρατίας</w:t>
      </w:r>
      <w:r w:rsidR="009C56CF">
        <w:rPr>
          <w:rFonts w:ascii="Times New Roman" w:hAnsi="Times New Roman" w:cs="Times New Roman"/>
          <w:lang w:val="el-GR"/>
        </w:rPr>
        <w:t xml:space="preserve"> </w:t>
      </w:r>
    </w:p>
    <w:p w14:paraId="09A5CB4D" w14:textId="77777777" w:rsidR="00606588" w:rsidRPr="00606588" w:rsidRDefault="00606588" w:rsidP="006065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l-GR"/>
        </w:rPr>
      </w:pPr>
    </w:p>
    <w:p w14:paraId="33375E06" w14:textId="0534AC22" w:rsidR="009C56CF" w:rsidRPr="009C56CF" w:rsidRDefault="00606588" w:rsidP="00606588">
      <w:pPr>
        <w:pStyle w:val="ListParagraph"/>
        <w:numPr>
          <w:ilvl w:val="1"/>
          <w:numId w:val="14"/>
        </w:numPr>
        <w:spacing w:line="240" w:lineRule="auto"/>
        <w:ind w:left="993"/>
        <w:jc w:val="both"/>
        <w:rPr>
          <w:rFonts w:ascii="Times New Roman" w:hAnsi="Times New Roman" w:cs="Times New Roman"/>
        </w:rPr>
      </w:pPr>
      <w:hyperlink r:id="rId12" w:anchor="/" w:history="1">
        <w:r w:rsidR="009C56CF" w:rsidRPr="009C56CF">
          <w:rPr>
            <w:color w:val="0000FF"/>
            <w:u w:val="single"/>
          </w:rPr>
          <w:t>Global Terrorism Index | Countries most impacted by terrorism (visionofhumanity.org)</w:t>
        </w:r>
      </w:hyperlink>
    </w:p>
    <w:p w14:paraId="4BEAF225" w14:textId="3AB40F02" w:rsidR="00B64667" w:rsidRPr="009C56CF" w:rsidRDefault="00606588" w:rsidP="00606588">
      <w:pPr>
        <w:pStyle w:val="ListParagraph"/>
        <w:numPr>
          <w:ilvl w:val="1"/>
          <w:numId w:val="14"/>
        </w:numPr>
        <w:spacing w:line="240" w:lineRule="auto"/>
        <w:ind w:left="993"/>
        <w:jc w:val="both"/>
        <w:rPr>
          <w:rFonts w:ascii="Times New Roman" w:hAnsi="Times New Roman" w:cs="Times New Roman"/>
        </w:rPr>
      </w:pPr>
      <w:hyperlink r:id="rId13" w:history="1">
        <w:r w:rsidR="009C56CF" w:rsidRPr="009C56CF">
          <w:rPr>
            <w:color w:val="0000FF"/>
            <w:u w:val="single"/>
          </w:rPr>
          <w:t>GTI-2023-web-190523.pdf (visionofhumanity.org)</w:t>
        </w:r>
      </w:hyperlink>
    </w:p>
    <w:p w14:paraId="1706E7C3" w14:textId="77777777" w:rsidR="009C56CF" w:rsidRPr="00EB4DBD" w:rsidRDefault="009C56CF" w:rsidP="00E65405">
      <w:pPr>
        <w:spacing w:line="240" w:lineRule="auto"/>
        <w:jc w:val="both"/>
        <w:rPr>
          <w:rFonts w:ascii="Times New Roman" w:hAnsi="Times New Roman" w:cs="Times New Roman"/>
        </w:rPr>
      </w:pPr>
    </w:p>
    <w:p w14:paraId="6B623DD4" w14:textId="63D900F7" w:rsidR="00E65405" w:rsidRPr="004560AD" w:rsidRDefault="00E65405" w:rsidP="00E65405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4560AD">
        <w:rPr>
          <w:rFonts w:ascii="Times New Roman" w:hAnsi="Times New Roman" w:cs="Times New Roman"/>
          <w:lang w:val="el-GR"/>
        </w:rPr>
        <w:t xml:space="preserve">Καλούνται όλα τα μέλη του Π.Δ.Σ. όπως λαμβάνουν υπόψιν τους τις πιο </w:t>
      </w:r>
      <w:r>
        <w:rPr>
          <w:rFonts w:ascii="Times New Roman" w:hAnsi="Times New Roman" w:cs="Times New Roman"/>
          <w:lang w:val="el-GR"/>
        </w:rPr>
        <w:t>κάτω</w:t>
      </w:r>
      <w:r w:rsidRPr="004560AD">
        <w:rPr>
          <w:rFonts w:ascii="Times New Roman" w:hAnsi="Times New Roman" w:cs="Times New Roman"/>
          <w:lang w:val="el-GR"/>
        </w:rPr>
        <w:t xml:space="preserve"> λίστες κατά την εφαρμογή των διαδικασιών και μέτρων δέουσας επιμέλειας γενικότερα και ειδικότερα κατά τον καθορισμό της Πολιτικής Αποδοχής Πελατών και Αξιολόγησης του Κινδύνου των πελατών τους. </w:t>
      </w:r>
    </w:p>
    <w:p w14:paraId="7A150843" w14:textId="1F9FE046" w:rsidR="00E65405" w:rsidRPr="004560AD" w:rsidRDefault="00E65405" w:rsidP="00E65405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4560AD">
        <w:rPr>
          <w:rFonts w:ascii="Times New Roman" w:hAnsi="Times New Roman" w:cs="Times New Roman"/>
          <w:lang w:val="el-GR"/>
        </w:rPr>
        <w:lastRenderedPageBreak/>
        <w:t xml:space="preserve">Οι πιο </w:t>
      </w:r>
      <w:r>
        <w:rPr>
          <w:rFonts w:ascii="Times New Roman" w:hAnsi="Times New Roman" w:cs="Times New Roman"/>
          <w:lang w:val="el-GR"/>
        </w:rPr>
        <w:t>κάτω</w:t>
      </w:r>
      <w:r w:rsidRPr="004560AD">
        <w:rPr>
          <w:rFonts w:ascii="Times New Roman" w:hAnsi="Times New Roman" w:cs="Times New Roman"/>
          <w:lang w:val="el-GR"/>
        </w:rPr>
        <w:t xml:space="preserve"> λίστες τροποποιούνται ανά τακτά χρονικά διαστήματα και υποχρεούστε όπως παρακολουθείτε και εφαρμόζετε οποιεσδήποτε μελλοντικές αναθεωρήσεις. </w:t>
      </w:r>
    </w:p>
    <w:p w14:paraId="7751B3E0" w14:textId="3E8E71B8" w:rsidR="004560AD" w:rsidRDefault="00E65405" w:rsidP="00606588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4560AD">
        <w:rPr>
          <w:rFonts w:ascii="Times New Roman" w:hAnsi="Times New Roman" w:cs="Times New Roman"/>
          <w:lang w:val="el-GR"/>
        </w:rPr>
        <w:t>Στον παρακάτω πίνακα θα βρείτε τον ενοποιημένο κατάλογο των χωρών υψηλού κινδύνου και άλλων δικαιοδοσιών:</w:t>
      </w:r>
    </w:p>
    <w:p w14:paraId="10E54BF2" w14:textId="77777777" w:rsidR="00606588" w:rsidRDefault="00606588" w:rsidP="00606588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</w:p>
    <w:p w14:paraId="7E4A7379" w14:textId="77777777" w:rsidR="004560AD" w:rsidRPr="004560AD" w:rsidRDefault="004560AD" w:rsidP="004560AD">
      <w:pPr>
        <w:rPr>
          <w:rFonts w:ascii="Times New Roman" w:hAnsi="Times New Roman" w:cs="Times New Roman"/>
          <w:b/>
          <w:lang w:val="el-GR"/>
        </w:rPr>
      </w:pPr>
      <w:r w:rsidRPr="004560AD">
        <w:rPr>
          <w:rFonts w:ascii="Times New Roman" w:hAnsi="Times New Roman" w:cs="Times New Roman"/>
          <w:b/>
          <w:u w:val="single"/>
          <w:lang w:val="el-GR"/>
        </w:rPr>
        <w:t>Πίνακας 1:</w:t>
      </w:r>
      <w:r w:rsidRPr="004560AD">
        <w:rPr>
          <w:rFonts w:ascii="Times New Roman" w:hAnsi="Times New Roman" w:cs="Times New Roman"/>
          <w:b/>
          <w:lang w:val="el-GR"/>
        </w:rPr>
        <w:t xml:space="preserve"> Ενοποιημένος κατάλογος χωρών υψηλού κινδύνου και άλλων δικαιοδοσιών</w:t>
      </w:r>
      <w:r w:rsidRPr="004560AD">
        <w:rPr>
          <w:rFonts w:ascii="Times New Roman" w:hAnsi="Times New Roman" w:cs="Times New Roman"/>
          <w:lang w:val="el-GR"/>
        </w:rPr>
        <w:t xml:space="preserve"> </w:t>
      </w:r>
    </w:p>
    <w:tbl>
      <w:tblPr>
        <w:tblW w:w="10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305"/>
        <w:gridCol w:w="1168"/>
        <w:gridCol w:w="1168"/>
        <w:gridCol w:w="1168"/>
      </w:tblGrid>
      <w:tr w:rsidR="004560AD" w:rsidRPr="00606588" w14:paraId="0BBE4DF7" w14:textId="77777777" w:rsidTr="00EB4DBD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center"/>
            <w:hideMark/>
          </w:tcPr>
          <w:p w14:paraId="093CD827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n-US"/>
              </w:rPr>
              <w:t>A/A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center"/>
            <w:hideMark/>
          </w:tcPr>
          <w:p w14:paraId="7E3D18EB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n-US"/>
              </w:rPr>
              <w:t>ΧΩΡΕΣ/COUNTRIES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vAlign w:val="center"/>
            <w:hideMark/>
          </w:tcPr>
          <w:p w14:paraId="08F1FDE3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n-US"/>
              </w:rPr>
              <w:t>ΕΕ – ΥΨΗΛΟΥ ΡΙΣΚΟΥ /</w:t>
            </w:r>
          </w:p>
          <w:p w14:paraId="46A5B386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n-US"/>
              </w:rPr>
              <w:t>EU HIGH RISK</w:t>
            </w: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vAlign w:val="center"/>
            <w:hideMark/>
          </w:tcPr>
          <w:p w14:paraId="5DE4EF26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l-GR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n-US"/>
              </w:rPr>
              <w:t>FATF</w:t>
            </w: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l-GR"/>
              </w:rPr>
              <w:t xml:space="preserve"> – ΜΗ ΣΥΝΕΡΓΑΣΙΜΕΣ/ </w:t>
            </w:r>
          </w:p>
          <w:p w14:paraId="32B76BFB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l-GR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n-US"/>
              </w:rPr>
              <w:t>FATF</w:t>
            </w: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l-GR"/>
              </w:rPr>
              <w:t xml:space="preserve"> </w:t>
            </w: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n-US"/>
              </w:rPr>
              <w:t>NON</w:t>
            </w: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l-GR"/>
              </w:rPr>
              <w:t>-</w:t>
            </w: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n-US"/>
              </w:rPr>
              <w:t>COOP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vAlign w:val="center"/>
            <w:hideMark/>
          </w:tcPr>
          <w:p w14:paraId="41B65A98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l-GR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n-US"/>
              </w:rPr>
              <w:t>EE</w:t>
            </w: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l-GR"/>
              </w:rPr>
              <w:t xml:space="preserve"> ΦΟΡΟΣ – ΜΑΥΡΗ ΛΙΣΤΑ/ </w:t>
            </w: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n-US"/>
              </w:rPr>
              <w:t>EU</w:t>
            </w: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l-GR"/>
              </w:rPr>
              <w:t xml:space="preserve"> </w:t>
            </w: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n-US"/>
              </w:rPr>
              <w:t>TAX</w:t>
            </w: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l-GR"/>
              </w:rPr>
              <w:t xml:space="preserve"> </w:t>
            </w:r>
            <w:proofErr w:type="gramStart"/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l-GR"/>
              </w:rPr>
              <w:t xml:space="preserve">BLACK </w:t>
            </w:r>
            <w:r w:rsidRPr="004560AD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val="en-US"/>
              </w:rPr>
              <w:t>LIST</w:t>
            </w:r>
            <w:proofErr w:type="gramEnd"/>
          </w:p>
        </w:tc>
      </w:tr>
      <w:tr w:rsidR="004560AD" w:rsidRPr="004560AD" w14:paraId="5E2D4A35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1C0EB" w14:textId="6AECB8FF" w:rsidR="004560AD" w:rsidRPr="00EB4DBD" w:rsidRDefault="004560AD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12B617" w14:textId="77777777" w:rsidR="004560AD" w:rsidRPr="004560AD" w:rsidRDefault="004560A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ΑΪΤΗ/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HAITI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0451C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7F1DA" w14:textId="77777777" w:rsidR="004560AD" w:rsidRPr="00884611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61842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4560AD" w:rsidRPr="004560AD" w14:paraId="3E657FC3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4AFDE" w14:textId="1681EFAC" w:rsidR="004560AD" w:rsidRPr="00EB4DBD" w:rsidRDefault="004560AD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5B9E9C" w14:textId="77777777" w:rsidR="004560AD" w:rsidRPr="004560AD" w:rsidRDefault="004560A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ΑΛΒΑΝΙΑ/ALBANIA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07AAD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EF491" w14:textId="77777777" w:rsidR="004560AD" w:rsidRPr="00884611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967F1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4560AD" w:rsidRPr="004560AD" w14:paraId="31CB6377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33561" w14:textId="11D455A8" w:rsidR="004560AD" w:rsidRPr="00EB4DBD" w:rsidRDefault="004560AD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3A666" w14:textId="77777777" w:rsidR="004560AD" w:rsidRPr="004560AD" w:rsidRDefault="004560A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ΑΜΕΡΙΚΑΝΙΚΗ ΣΑΜΟΑ/AMERICAN SAMOA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380EF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5F730" w14:textId="77777777" w:rsidR="004560AD" w:rsidRPr="00884611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8C647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</w:tr>
      <w:tr w:rsidR="004560AD" w:rsidRPr="004560AD" w14:paraId="6B785A3A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3A59E" w14:textId="19E6BC0A" w:rsidR="004560AD" w:rsidRPr="00EB4DBD" w:rsidRDefault="004560AD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592FD" w14:textId="77777777" w:rsidR="004560AD" w:rsidRPr="004560AD" w:rsidRDefault="004560A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ΑΜΕΡΙΚΑΝΙΚΟΙ ΠΑΡΘΕΝΟΙ ΝΗΣΟΙ/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US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VIRGIN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ISLANDS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4BFAA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9A8BC" w14:textId="77777777" w:rsidR="004560AD" w:rsidRPr="00884611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l-G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B152E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</w:tr>
      <w:tr w:rsidR="004560AD" w:rsidRPr="004560AD" w14:paraId="0D045468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A5F15" w14:textId="43C89357" w:rsidR="004560AD" w:rsidRPr="00EB4DBD" w:rsidRDefault="004560AD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E4D6C" w14:textId="77777777" w:rsidR="004560AD" w:rsidRPr="004560AD" w:rsidRDefault="004560A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ΑΝΓΚΟΥΊΛΑ/ANGUILLA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CE2D4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6D17F" w14:textId="77777777" w:rsidR="004560AD" w:rsidRPr="00884611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l-G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FD4D1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</w:tr>
      <w:tr w:rsidR="004560AD" w:rsidRPr="004560AD" w14:paraId="7A1A9E51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6E4A2" w14:textId="00C943EE" w:rsidR="004560AD" w:rsidRPr="00EB4DBD" w:rsidRDefault="004560AD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E064D" w14:textId="77777777" w:rsidR="004560AD" w:rsidRPr="004560AD" w:rsidRDefault="004560A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ΑΦΓΑΝΙΣΤΑΝ/AFGHANISTAN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47DBB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84CE5" w14:textId="77777777" w:rsidR="004560AD" w:rsidRPr="00884611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l-G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ABE7D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4560AD" w:rsidRPr="004560AD" w14:paraId="1BC6AF12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8929E" w14:textId="443FB456" w:rsidR="004560AD" w:rsidRPr="00EB4DBD" w:rsidRDefault="004560AD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5DA7B8" w14:textId="77777777" w:rsidR="004560AD" w:rsidRPr="004560AD" w:rsidRDefault="004560A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ΒΑΝΟΥΑΤΟΥ/VANUATU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7FC08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CB5F9" w14:textId="77777777" w:rsidR="004560AD" w:rsidRPr="00884611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DB6B2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</w:tr>
      <w:tr w:rsidR="00DE1985" w:rsidRPr="004560AD" w14:paraId="53F153E0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C8393" w14:textId="77777777" w:rsidR="00DE1985" w:rsidRPr="00EB4DBD" w:rsidRDefault="00DE1985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508A3A" w14:textId="15FA01D4" w:rsidR="00DE1985" w:rsidRPr="00DE1985" w:rsidRDefault="00DE198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ΒΙΕΤΝΑΜ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39528" w14:textId="2941A153" w:rsidR="00DE1985" w:rsidRPr="004560AD" w:rsidRDefault="00DE1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E0151" w14:textId="65DA4252" w:rsidR="00DE1985" w:rsidRPr="00884611" w:rsidRDefault="00355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5357B" w14:textId="77777777" w:rsidR="00DE1985" w:rsidRPr="004560AD" w:rsidRDefault="00DE1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560AD" w:rsidRPr="004560AD" w14:paraId="59AFA9A6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1B926" w14:textId="5AF62DE5" w:rsidR="004560AD" w:rsidRPr="00EB4DBD" w:rsidRDefault="004560AD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C8A30C" w14:textId="77777777" w:rsidR="004560AD" w:rsidRPr="004560AD" w:rsidRDefault="004560A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ΒΡΕΤΑΝΙΚΈΣ ΠΑΡΘΈΝΟΙ ΝΉΣΟΙ/</w:t>
            </w:r>
            <w:r w:rsidRPr="004560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BRITISH VIRGIN ISLANDS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3DEB3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33C9D" w14:textId="77777777" w:rsidR="004560AD" w:rsidRPr="00884611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926BB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</w:tr>
      <w:tr w:rsidR="004560AD" w:rsidRPr="004560AD" w14:paraId="49949816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C3DB7" w14:textId="314B89A7" w:rsidR="004560AD" w:rsidRPr="00EB4DBD" w:rsidRDefault="004560AD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A86B59" w14:textId="77777777" w:rsidR="004560AD" w:rsidRPr="004560AD" w:rsidRDefault="004560A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ΓΙΒΡΑΛΤΆΡ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/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GIBRALTAR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B1551" w14:textId="2FE0A0FE" w:rsidR="004560AD" w:rsidRPr="004560AD" w:rsidRDefault="002B2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D920D" w14:textId="77777777" w:rsidR="004560AD" w:rsidRPr="00884611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8DD75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4560AD" w:rsidRPr="004560AD" w14:paraId="3B781BE3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B61E0" w14:textId="39EC8EE1" w:rsidR="004560AD" w:rsidRPr="00EB4DBD" w:rsidRDefault="004560AD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06BF11" w14:textId="77777777" w:rsidR="004560AD" w:rsidRPr="004560AD" w:rsidRDefault="004560A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ΓΚΟΥΑΜ/GUAM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CD034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C63B6" w14:textId="77777777" w:rsidR="004560AD" w:rsidRPr="00884611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A0AAB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</w:tr>
      <w:tr w:rsidR="004560AD" w:rsidRPr="004560AD" w14:paraId="48BA0555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805DD" w14:textId="433224F4" w:rsidR="004560AD" w:rsidRPr="00EB4DBD" w:rsidRDefault="004560AD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5DBB5" w14:textId="77777777" w:rsidR="004560AD" w:rsidRPr="00442DDA" w:rsidRDefault="004560A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ΗΝΩΜΕΝΑ</w:t>
            </w:r>
            <w:r w:rsidRPr="00442D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ΑΡΑΒΙΚΑ</w:t>
            </w:r>
            <w:r w:rsidRPr="00442D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ΕΜΙΡΑΤΑ</w:t>
            </w:r>
            <w:r w:rsidRPr="00442D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 xml:space="preserve">/ 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UNITED</w:t>
            </w:r>
            <w:r w:rsidRPr="00442D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ARAB</w:t>
            </w:r>
            <w:r w:rsidRPr="00442D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EMIRATES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A823A" w14:textId="16D78A0B" w:rsidR="004560AD" w:rsidRPr="004560AD" w:rsidRDefault="002B2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2ABE3" w14:textId="77777777" w:rsidR="004560AD" w:rsidRPr="00884611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8DB82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4560AD" w:rsidRPr="004560AD" w14:paraId="501D426E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B786E" w14:textId="75C08EF6" w:rsidR="004560AD" w:rsidRPr="00EB4DBD" w:rsidRDefault="004560AD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7D2AC" w14:textId="77777777" w:rsidR="004560AD" w:rsidRPr="004560AD" w:rsidRDefault="004560A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ΙΟΡΔΑΝΙΑ/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JORDAN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A11F5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FDF69" w14:textId="77777777" w:rsidR="004560AD" w:rsidRPr="00884611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A9F48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4560AD" w:rsidRPr="004560AD" w14:paraId="7950DBA4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A556C" w14:textId="773969E7" w:rsidR="004560AD" w:rsidRPr="00EB4DBD" w:rsidRDefault="004560AD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BD373" w14:textId="77777777" w:rsidR="004560AD" w:rsidRPr="004560AD" w:rsidRDefault="004560A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ΙΡΑΝ/IRAN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B93A1" w14:textId="53A6E0A3" w:rsidR="004560AD" w:rsidRPr="004560AD" w:rsidRDefault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B71D1" w14:textId="06A55A91" w:rsidR="004560AD" w:rsidRPr="00884611" w:rsidRDefault="00DE18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A08CF" w14:textId="77777777" w:rsidR="004560AD" w:rsidRPr="004560AD" w:rsidRDefault="00456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DE1985" w:rsidRPr="004560AD" w14:paraId="10C26A07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494BD" w14:textId="77777777" w:rsidR="00DE1985" w:rsidRPr="00EB4DBD" w:rsidRDefault="00DE1985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AC56A" w14:textId="1877F422" w:rsidR="00DE1985" w:rsidRPr="00DE1985" w:rsidRDefault="00DE198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ΚΑΜΕΡΟΥΝ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45A89" w14:textId="60184396" w:rsidR="00DE1985" w:rsidRPr="00884611" w:rsidRDefault="00DE1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20A3F" w14:textId="012F2640" w:rsidR="00DE1985" w:rsidRPr="00884611" w:rsidRDefault="00355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FC982" w14:textId="77777777" w:rsidR="00DE1985" w:rsidRPr="004560AD" w:rsidRDefault="00DE1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104AAE20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72435" w14:textId="70A0AA8B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4C205" w14:textId="4693D58C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ΚΌΣΤΑ ΡΊΚΑ/ COSTA RICA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41F92" w14:textId="6CC63874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BF123" w14:textId="0164101D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EC866" w14:textId="5C4ACA63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</w:tr>
      <w:tr w:rsidR="0035512D" w:rsidRPr="004560AD" w14:paraId="34A536BD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C5ACC" w14:textId="77777777" w:rsidR="0035512D" w:rsidRPr="00EB4DBD" w:rsidRDefault="0035512D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44404" w14:textId="270EFFDE" w:rsidR="0035512D" w:rsidRPr="0035512D" w:rsidRDefault="0035512D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ΚΡΟΑΤΙΑ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20354" w14:textId="77777777" w:rsidR="0035512D" w:rsidRPr="00155C8A" w:rsidRDefault="0035512D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677FF" w14:textId="057AB8E0" w:rsidR="0035512D" w:rsidRPr="00155C8A" w:rsidRDefault="0035512D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63A3E" w14:textId="77777777" w:rsidR="0035512D" w:rsidRPr="004560AD" w:rsidRDefault="0035512D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4DD3AD4C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6B687" w14:textId="5EBB786D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515A9" w14:textId="33B62C36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Λ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ΑΪΚΉ ΔΗΜΟΚΡΑΤΊΑ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ΒΟΡΕΙΟΥ</w:t>
            </w:r>
            <w:r w:rsidRPr="003634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ΚΟΡΕΑΣ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 DEMOCRATIC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PEOPLE’S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REPUBLIC OF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KOREA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CCC37" w14:textId="2F366F18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5C8A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308F6" w14:textId="5650C495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55C8A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B9AEF" w14:textId="2F7CA821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4ED1533F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C1AB8" w14:textId="5907D705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89E415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Λ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ΑΪΚΉ ΔΗΜΟΚΡΑΤΊΑ ΤΟΥ ΚΟΝΓΚΌ/ DEMOCRATIC REPUBLIC OF THE CONGO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FA7F0" w14:textId="455C18C1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5F67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AE71E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384495AD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38090" w14:textId="1CD0CA76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7E4A3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ΜΑΛΙ/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MALI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B1044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BCC62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C909D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1B923BAE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D9CB3" w14:textId="10F3DD13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A128B0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ΜΟΖΑΜΒΊΚΗ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/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MOZAMBIQUE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2C17A" w14:textId="4CD2974D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5417C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DF58E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5E02E8F1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835B0" w14:textId="7674CAF6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0729C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ΜΠΑΡΜΠΕΙΝΤΟΣ/BARBADOS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9A40F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7C809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1F363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31ABA5CA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F466F" w14:textId="799B2DE2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2DE4D8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ΜΠΑΧΑΜΑΣ/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BAHAMAS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1081D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10B9D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76006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</w:tr>
      <w:tr w:rsidR="003634EE" w:rsidRPr="004560AD" w14:paraId="1B709022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40788" w14:textId="513C344E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A1BB62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ΜΠΟΥΡΚ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Ι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ΝΑ Φ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Α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ΣΟ/BURKINA FASO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E6351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4BD32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AE56F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45C90D65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6180B" w14:textId="0DAF8242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E53C38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ΜΥΑΝΜΑΡ/MYANMAR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406CF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62490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5A1B3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6405443B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3AC77" w14:textId="2124E35D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CC23BB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Ν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ΗΣΟΙ ΚΕΙΜΑΝ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/CAYMAN ISLANDS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36FE2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81EB9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6F15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624AF89E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76FD7" w14:textId="1F3321E8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2A4DDE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ΝΉΣΟΙ ΜΆΡΣΑΛ/MARSHALL ISLANDS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A116C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B128F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3C5E0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</w:tr>
      <w:tr w:rsidR="003634EE" w:rsidRPr="004560AD" w14:paraId="6C540C4B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0A1DB" w14:textId="07A880D3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BE544E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ΝΉΣΟΙ ΤΕΡΚΣ ΚΑΙ ΚΆΙΚΟΣ/TURKS AND CAICOS ISLANDS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51705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0D6D6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E962D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</w:tr>
      <w:tr w:rsidR="003634EE" w:rsidRPr="004560AD" w14:paraId="59664E02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B882B" w14:textId="6662D353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73D939" w14:textId="1E4EBF97" w:rsidR="003634EE" w:rsidRPr="00884611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ΝΙΓΗΡΙΑ/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1465D" w14:textId="6DD51D4A" w:rsidR="003634EE" w:rsidRPr="009C56CF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50B6B" w14:textId="2F721DA0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3D319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l-GR"/>
              </w:rPr>
            </w:pPr>
          </w:p>
        </w:tc>
      </w:tr>
      <w:tr w:rsidR="003634EE" w:rsidRPr="004560AD" w14:paraId="17BD6B98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09070" w14:textId="78520B96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1F4ED" w14:textId="4C6BD5A6" w:rsidR="003634EE" w:rsidRPr="00884611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ΝΟΤΙΑ ΑΦΡΙΚΗ/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DF293" w14:textId="12B5B738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FE05F" w14:textId="36C0DBAC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F76CD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3669F9E7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3D675" w14:textId="7E938408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71EFF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ΝΟΤΙΟ ΣΟΥΔΑΝ/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SOUTH SUDAN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CE3F7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277EF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FF9AC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6DF6D4D1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4D229" w14:textId="7C3D218F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F2E0F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ΟΥΓΚΑΝΤΑ/UGANDA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6D403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03368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0FF17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03EA5472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0FB64" w14:textId="503D787D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F8EA7F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ΠΑΛΑΟΥ/PALAU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8C256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4198F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56542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</w:tr>
      <w:tr w:rsidR="003634EE" w:rsidRPr="004560AD" w14:paraId="69CE7449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6471F" w14:textId="614431E5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D34276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ΠΑΝΑΜΑΣ/PANAMA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9664F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6BC70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8096C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</w:tr>
      <w:tr w:rsidR="003634EE" w:rsidRPr="004560AD" w14:paraId="500429C8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FFEB2" w14:textId="103AF9E8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EAB4E8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ΡΩΣΙΑ/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RUSSIA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ACB46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50F99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4523F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</w:tr>
      <w:tr w:rsidR="003634EE" w:rsidRPr="004560AD" w14:paraId="637930D0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3B0E7" w14:textId="4191F958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66030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darkGray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ΣΑΜΟΑ/SAMOA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4FC37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C773D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72DEA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</w:tr>
      <w:tr w:rsidR="003634EE" w:rsidRPr="004560AD" w14:paraId="76F15134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28E5A" w14:textId="18178A6D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BF706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ΣΕΝΕΓΑΛΗ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/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SENEGAL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08356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B5222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ABEA9" w14:textId="77777777" w:rsidR="003634EE" w:rsidRPr="00A86FDB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634EE" w:rsidRPr="004560AD" w14:paraId="6B688968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522BE" w14:textId="5A2628D3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28765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ΣΥΡΙΑ/SYRIA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12C9F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99E37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75E46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02C9ED03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C3CCA" w14:textId="04F90D75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4DB56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ΤΑΝΖΑΝΙΑ/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TANZANIA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F56CC" w14:textId="05BA222E" w:rsidR="003634EE" w:rsidRPr="002B2674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1A0CE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2F0BB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656BC30D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62C9D" w14:textId="6185FD12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A3011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ΤΖA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Μ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AΪΚΑ/JAMAICA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2F364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F682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08F06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790992A0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6BCCF" w14:textId="6C4A84E3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65167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darkGray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ΤΟΥΡΚΙΑ/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TURKIYE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DAE2B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F619E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0B481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69976D21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AF530" w14:textId="01D8E125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D3662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ΤΡΙΝΙΝΤΑΝΤ &amp; ΤΟΜΠΑΓΚΟ/TRINIDAD &amp; TOBAGO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C48DD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3F21E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C4CB5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</w:tr>
      <w:tr w:rsidR="003634EE" w:rsidRPr="004560AD" w14:paraId="60AB20E2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27FB9" w14:textId="7841F279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ADC43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ΥΕΜΕΝΗ/YEMEN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0BA26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22C68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E5B22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2808FD2E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96FEB" w14:textId="15000858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760D8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ΦΙΛΙΠΠΙΝΕΣ/</w:t>
            </w: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PHILIPPINES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AE31B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77C32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84611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44787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634EE" w:rsidRPr="004560AD" w14:paraId="2FB401B6" w14:textId="77777777" w:rsidTr="00EB4D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5A034" w14:textId="3D4CD03E" w:rsidR="003634EE" w:rsidRPr="00EB4DBD" w:rsidRDefault="003634EE" w:rsidP="00EB4DB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FEA92" w14:textId="77777777" w:rsidR="003634EE" w:rsidRPr="004560AD" w:rsidRDefault="003634EE" w:rsidP="003634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ΦΙΤΖΙ/FIJI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6AA4C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F57C" w14:textId="77777777" w:rsidR="003634EE" w:rsidRPr="00884611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961A7" w14:textId="77777777" w:rsidR="003634EE" w:rsidRPr="004560AD" w:rsidRDefault="003634EE" w:rsidP="00363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60AD">
              <w:rPr>
                <w:rFonts w:ascii="Times New Roman" w:hAnsi="Times New Roman" w:cs="Times New Roman"/>
                <w:b/>
                <w:bCs/>
                <w:lang w:val="en-US"/>
              </w:rPr>
              <w:t>×</w:t>
            </w:r>
          </w:p>
        </w:tc>
      </w:tr>
    </w:tbl>
    <w:p w14:paraId="106795F0" w14:textId="381F8F46" w:rsidR="004560AD" w:rsidRPr="004560AD" w:rsidRDefault="004560AD" w:rsidP="00306FE3">
      <w:pPr>
        <w:spacing w:line="480" w:lineRule="auto"/>
        <w:jc w:val="both"/>
        <w:rPr>
          <w:rFonts w:ascii="Times New Roman" w:hAnsi="Times New Roman" w:cs="Times New Roman"/>
          <w:lang w:val="el-GR"/>
        </w:rPr>
      </w:pPr>
      <w:r w:rsidRPr="004560AD">
        <w:rPr>
          <w:rFonts w:ascii="Times New Roman" w:hAnsi="Times New Roman" w:cs="Times New Roman"/>
          <w:lang w:val="el-GR"/>
        </w:rPr>
        <w:t xml:space="preserve"> </w:t>
      </w:r>
    </w:p>
    <w:sectPr w:rsidR="004560AD" w:rsidRPr="004560AD" w:rsidSect="00EC340D">
      <w:headerReference w:type="default" r:id="rId14"/>
      <w:footerReference w:type="default" r:id="rId15"/>
      <w:pgSz w:w="11906" w:h="16838"/>
      <w:pgMar w:top="1560" w:right="1133" w:bottom="1135" w:left="1276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35F4" w14:textId="77777777" w:rsidR="00231DAB" w:rsidRDefault="00231DAB" w:rsidP="002C44EF">
      <w:pPr>
        <w:spacing w:after="0" w:line="240" w:lineRule="auto"/>
      </w:pPr>
      <w:r>
        <w:separator/>
      </w:r>
    </w:p>
  </w:endnote>
  <w:endnote w:type="continuationSeparator" w:id="0">
    <w:p w14:paraId="778935CC" w14:textId="77777777" w:rsidR="00231DAB" w:rsidRDefault="00231DAB" w:rsidP="002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07364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F4E1D" w14:textId="2341DEB0" w:rsidR="00EC340D" w:rsidRPr="00EC340D" w:rsidRDefault="00EC340D">
        <w:pPr>
          <w:pStyle w:val="Footer"/>
          <w:jc w:val="right"/>
          <w:rPr>
            <w:rFonts w:ascii="Times New Roman" w:hAnsi="Times New Roman" w:cs="Times New Roman"/>
          </w:rPr>
        </w:pPr>
        <w:r w:rsidRPr="00EC340D">
          <w:rPr>
            <w:rFonts w:ascii="Times New Roman" w:hAnsi="Times New Roman" w:cs="Times New Roman"/>
          </w:rPr>
          <w:fldChar w:fldCharType="begin"/>
        </w:r>
        <w:r w:rsidRPr="00EC340D">
          <w:rPr>
            <w:rFonts w:ascii="Times New Roman" w:hAnsi="Times New Roman" w:cs="Times New Roman"/>
          </w:rPr>
          <w:instrText xml:space="preserve"> PAGE   \* MERGEFORMAT </w:instrText>
        </w:r>
        <w:r w:rsidRPr="00EC340D">
          <w:rPr>
            <w:rFonts w:ascii="Times New Roman" w:hAnsi="Times New Roman" w:cs="Times New Roman"/>
          </w:rPr>
          <w:fldChar w:fldCharType="separate"/>
        </w:r>
        <w:r w:rsidRPr="00EC340D">
          <w:rPr>
            <w:rFonts w:ascii="Times New Roman" w:hAnsi="Times New Roman" w:cs="Times New Roman"/>
            <w:noProof/>
          </w:rPr>
          <w:t>2</w:t>
        </w:r>
        <w:r w:rsidRPr="00EC34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ECBBECB" w14:textId="77777777" w:rsidR="002C44EF" w:rsidRDefault="002C4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4D04" w14:textId="77777777" w:rsidR="00231DAB" w:rsidRDefault="00231DAB" w:rsidP="002C44EF">
      <w:pPr>
        <w:spacing w:after="0" w:line="240" w:lineRule="auto"/>
      </w:pPr>
      <w:r>
        <w:separator/>
      </w:r>
    </w:p>
  </w:footnote>
  <w:footnote w:type="continuationSeparator" w:id="0">
    <w:p w14:paraId="59225D99" w14:textId="77777777" w:rsidR="00231DAB" w:rsidRDefault="00231DAB" w:rsidP="002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DE2A" w14:textId="03E9C036" w:rsidR="002C44EF" w:rsidRDefault="002C44EF" w:rsidP="002C44EF">
    <w:pPr>
      <w:pStyle w:val="Header"/>
      <w:tabs>
        <w:tab w:val="clear" w:pos="9026"/>
        <w:tab w:val="right" w:pos="963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97F9B35" wp14:editId="2672E0FD">
          <wp:simplePos x="0" y="0"/>
          <wp:positionH relativeFrom="column">
            <wp:posOffset>5600700</wp:posOffset>
          </wp:positionH>
          <wp:positionV relativeFrom="paragraph">
            <wp:posOffset>-64770</wp:posOffset>
          </wp:positionV>
          <wp:extent cx="678180" cy="678180"/>
          <wp:effectExtent l="0" t="0" r="7620" b="7620"/>
          <wp:wrapNone/>
          <wp:docPr id="28" name="Picture 2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6DF"/>
    <w:multiLevelType w:val="hybridMultilevel"/>
    <w:tmpl w:val="84FA03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79D1"/>
    <w:multiLevelType w:val="hybridMultilevel"/>
    <w:tmpl w:val="79DC79BC"/>
    <w:lvl w:ilvl="0" w:tplc="08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56D62EC"/>
    <w:multiLevelType w:val="hybridMultilevel"/>
    <w:tmpl w:val="E91A3A24"/>
    <w:lvl w:ilvl="0" w:tplc="35E4DE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5E4DE9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0A71"/>
    <w:multiLevelType w:val="multilevel"/>
    <w:tmpl w:val="408CCC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6438D"/>
    <w:multiLevelType w:val="hybridMultilevel"/>
    <w:tmpl w:val="9A74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2E6E"/>
    <w:multiLevelType w:val="multilevel"/>
    <w:tmpl w:val="D9D2D2D0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2B616BD1"/>
    <w:multiLevelType w:val="hybridMultilevel"/>
    <w:tmpl w:val="FDB23EA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887F67"/>
    <w:multiLevelType w:val="hybridMultilevel"/>
    <w:tmpl w:val="B01A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F22A4"/>
    <w:multiLevelType w:val="multilevel"/>
    <w:tmpl w:val="3DC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621C8"/>
    <w:multiLevelType w:val="hybridMultilevel"/>
    <w:tmpl w:val="C214F362"/>
    <w:lvl w:ilvl="0" w:tplc="62B4E7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E2612"/>
    <w:multiLevelType w:val="hybridMultilevel"/>
    <w:tmpl w:val="FD1CB1D2"/>
    <w:lvl w:ilvl="0" w:tplc="35E4DE9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852D6C"/>
    <w:multiLevelType w:val="hybridMultilevel"/>
    <w:tmpl w:val="A3242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24966"/>
    <w:multiLevelType w:val="hybridMultilevel"/>
    <w:tmpl w:val="7B66560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25CC"/>
    <w:multiLevelType w:val="hybridMultilevel"/>
    <w:tmpl w:val="7B6656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24416"/>
    <w:multiLevelType w:val="multilevel"/>
    <w:tmpl w:val="641E39A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7DF21218"/>
    <w:multiLevelType w:val="multilevel"/>
    <w:tmpl w:val="3BC4610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2087800983">
    <w:abstractNumId w:val="9"/>
  </w:num>
  <w:num w:numId="2" w16cid:durableId="2050690175">
    <w:abstractNumId w:val="3"/>
  </w:num>
  <w:num w:numId="3" w16cid:durableId="42797241">
    <w:abstractNumId w:val="8"/>
  </w:num>
  <w:num w:numId="4" w16cid:durableId="144322975">
    <w:abstractNumId w:val="5"/>
  </w:num>
  <w:num w:numId="5" w16cid:durableId="624848782">
    <w:abstractNumId w:val="14"/>
  </w:num>
  <w:num w:numId="6" w16cid:durableId="5522514">
    <w:abstractNumId w:val="15"/>
  </w:num>
  <w:num w:numId="7" w16cid:durableId="21133165">
    <w:abstractNumId w:val="1"/>
  </w:num>
  <w:num w:numId="8" w16cid:durableId="996495622">
    <w:abstractNumId w:val="6"/>
  </w:num>
  <w:num w:numId="9" w16cid:durableId="216160648">
    <w:abstractNumId w:val="13"/>
  </w:num>
  <w:num w:numId="10" w16cid:durableId="1265068092">
    <w:abstractNumId w:val="4"/>
  </w:num>
  <w:num w:numId="11" w16cid:durableId="1301571163">
    <w:abstractNumId w:val="0"/>
  </w:num>
  <w:num w:numId="12" w16cid:durableId="1607884597">
    <w:abstractNumId w:val="7"/>
  </w:num>
  <w:num w:numId="13" w16cid:durableId="559243744">
    <w:abstractNumId w:val="12"/>
  </w:num>
  <w:num w:numId="14" w16cid:durableId="1460225641">
    <w:abstractNumId w:val="2"/>
  </w:num>
  <w:num w:numId="15" w16cid:durableId="1982127">
    <w:abstractNumId w:val="10"/>
  </w:num>
  <w:num w:numId="16" w16cid:durableId="494688769">
    <w:abstractNumId w:val="10"/>
  </w:num>
  <w:num w:numId="17" w16cid:durableId="11536398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5D"/>
    <w:rsid w:val="000219DA"/>
    <w:rsid w:val="00021AB9"/>
    <w:rsid w:val="000409A3"/>
    <w:rsid w:val="00041A72"/>
    <w:rsid w:val="000456F7"/>
    <w:rsid w:val="00082787"/>
    <w:rsid w:val="00085EC7"/>
    <w:rsid w:val="000C18DB"/>
    <w:rsid w:val="000E4FB8"/>
    <w:rsid w:val="000F445E"/>
    <w:rsid w:val="00115750"/>
    <w:rsid w:val="00131EE8"/>
    <w:rsid w:val="001422F6"/>
    <w:rsid w:val="001423F8"/>
    <w:rsid w:val="00167F83"/>
    <w:rsid w:val="00183479"/>
    <w:rsid w:val="001A0F0F"/>
    <w:rsid w:val="001C58AF"/>
    <w:rsid w:val="001E680E"/>
    <w:rsid w:val="001E7F2B"/>
    <w:rsid w:val="00231DAB"/>
    <w:rsid w:val="00244EF2"/>
    <w:rsid w:val="00253991"/>
    <w:rsid w:val="002610DD"/>
    <w:rsid w:val="00277FFB"/>
    <w:rsid w:val="00294520"/>
    <w:rsid w:val="00295CB4"/>
    <w:rsid w:val="002B2674"/>
    <w:rsid w:val="002C44EF"/>
    <w:rsid w:val="002F1A5D"/>
    <w:rsid w:val="002F7837"/>
    <w:rsid w:val="00305B1C"/>
    <w:rsid w:val="00306FE3"/>
    <w:rsid w:val="00307EF4"/>
    <w:rsid w:val="003476D8"/>
    <w:rsid w:val="0035512D"/>
    <w:rsid w:val="003562D0"/>
    <w:rsid w:val="003634EE"/>
    <w:rsid w:val="003967A7"/>
    <w:rsid w:val="003B525D"/>
    <w:rsid w:val="003C0AD8"/>
    <w:rsid w:val="003D469B"/>
    <w:rsid w:val="003E67D8"/>
    <w:rsid w:val="003F4C98"/>
    <w:rsid w:val="004277C5"/>
    <w:rsid w:val="0043497E"/>
    <w:rsid w:val="00441F50"/>
    <w:rsid w:val="00442DDA"/>
    <w:rsid w:val="004560AD"/>
    <w:rsid w:val="0046744D"/>
    <w:rsid w:val="004F0DEB"/>
    <w:rsid w:val="00516D92"/>
    <w:rsid w:val="00541310"/>
    <w:rsid w:val="0054586A"/>
    <w:rsid w:val="0056434D"/>
    <w:rsid w:val="0059233F"/>
    <w:rsid w:val="005A3032"/>
    <w:rsid w:val="005C6A65"/>
    <w:rsid w:val="005D3F68"/>
    <w:rsid w:val="00602978"/>
    <w:rsid w:val="00606588"/>
    <w:rsid w:val="00624E44"/>
    <w:rsid w:val="00660C91"/>
    <w:rsid w:val="00661B12"/>
    <w:rsid w:val="00692374"/>
    <w:rsid w:val="006F03BE"/>
    <w:rsid w:val="006F5B06"/>
    <w:rsid w:val="007455FC"/>
    <w:rsid w:val="007C53CC"/>
    <w:rsid w:val="007D157C"/>
    <w:rsid w:val="007D2E30"/>
    <w:rsid w:val="007F642A"/>
    <w:rsid w:val="00827F4B"/>
    <w:rsid w:val="00857214"/>
    <w:rsid w:val="008637E3"/>
    <w:rsid w:val="00884611"/>
    <w:rsid w:val="008C26C6"/>
    <w:rsid w:val="00933471"/>
    <w:rsid w:val="00945ACA"/>
    <w:rsid w:val="009750AE"/>
    <w:rsid w:val="009A0108"/>
    <w:rsid w:val="009C56CF"/>
    <w:rsid w:val="009E1E18"/>
    <w:rsid w:val="00A25CDD"/>
    <w:rsid w:val="00A552D8"/>
    <w:rsid w:val="00A735FD"/>
    <w:rsid w:val="00A86FDB"/>
    <w:rsid w:val="00AD0147"/>
    <w:rsid w:val="00AF1BFB"/>
    <w:rsid w:val="00AF6594"/>
    <w:rsid w:val="00B468F9"/>
    <w:rsid w:val="00B519F3"/>
    <w:rsid w:val="00B52C66"/>
    <w:rsid w:val="00B53931"/>
    <w:rsid w:val="00B64667"/>
    <w:rsid w:val="00BC13E0"/>
    <w:rsid w:val="00BC40A8"/>
    <w:rsid w:val="00BD0D1F"/>
    <w:rsid w:val="00BF4207"/>
    <w:rsid w:val="00C22B98"/>
    <w:rsid w:val="00C46499"/>
    <w:rsid w:val="00C8057F"/>
    <w:rsid w:val="00C926C1"/>
    <w:rsid w:val="00CA686A"/>
    <w:rsid w:val="00CF3355"/>
    <w:rsid w:val="00CF5131"/>
    <w:rsid w:val="00D01F91"/>
    <w:rsid w:val="00D21529"/>
    <w:rsid w:val="00D259B6"/>
    <w:rsid w:val="00D43405"/>
    <w:rsid w:val="00D5670D"/>
    <w:rsid w:val="00D65773"/>
    <w:rsid w:val="00D669F6"/>
    <w:rsid w:val="00D7078D"/>
    <w:rsid w:val="00D72988"/>
    <w:rsid w:val="00DA3210"/>
    <w:rsid w:val="00DB187F"/>
    <w:rsid w:val="00DE18CB"/>
    <w:rsid w:val="00DE1985"/>
    <w:rsid w:val="00E207B0"/>
    <w:rsid w:val="00E2646B"/>
    <w:rsid w:val="00E46265"/>
    <w:rsid w:val="00E63DC8"/>
    <w:rsid w:val="00E65405"/>
    <w:rsid w:val="00E74C52"/>
    <w:rsid w:val="00E762C1"/>
    <w:rsid w:val="00EB4DBD"/>
    <w:rsid w:val="00EC340D"/>
    <w:rsid w:val="00ED2D03"/>
    <w:rsid w:val="00F1092D"/>
    <w:rsid w:val="00F1631A"/>
    <w:rsid w:val="00F56CE2"/>
    <w:rsid w:val="00F63AB1"/>
    <w:rsid w:val="00F66EEB"/>
    <w:rsid w:val="00F80950"/>
    <w:rsid w:val="00F91787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44D19"/>
  <w15:chartTrackingRefBased/>
  <w15:docId w15:val="{6D534188-C123-493A-AE61-3F07E1C5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9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EF"/>
  </w:style>
  <w:style w:type="paragraph" w:styleId="Footer">
    <w:name w:val="footer"/>
    <w:basedOn w:val="Normal"/>
    <w:link w:val="FooterChar"/>
    <w:uiPriority w:val="99"/>
    <w:unhideWhenUsed/>
    <w:rsid w:val="002C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EF"/>
  </w:style>
  <w:style w:type="paragraph" w:styleId="Revision">
    <w:name w:val="Revision"/>
    <w:hidden/>
    <w:uiPriority w:val="99"/>
    <w:semiHidden/>
    <w:rsid w:val="000827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6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6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6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D9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744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F1B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B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PDF/?uri=CELEX:32023R2070&amp;qid=1696338868093" TargetMode="External"/><Relationship Id="rId13" Type="http://schemas.openxmlformats.org/officeDocument/2006/relationships/hyperlink" Target="https://www.visionofhumanity.org/wp-content/uploads/2023/05/GTI-2023-web-1905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sionofhumanity.org/maps/global-terrorism-index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tf-gafi.org/en/publications/High-risk-and-other-monitored-jurisdictions/Call-for-action-June-202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tf-gafi.org/en/publications/High-risk-and-other-monitored-jurisdictions/Increased-monitoring-june-20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xation-customs.ec.europa.eu/common-eu-list-third-country-jurisdictions-tax-purposes_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5C6D-7655-4386-BA34-DF2D6084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Panayiotis Georgiou</dc:creator>
  <cp:keywords/>
  <dc:description/>
  <cp:lastModifiedBy>Yiannis Hadjicharos</cp:lastModifiedBy>
  <cp:revision>3</cp:revision>
  <cp:lastPrinted>2023-06-01T06:02:00Z</cp:lastPrinted>
  <dcterms:created xsi:type="dcterms:W3CDTF">2023-10-10T05:51:00Z</dcterms:created>
  <dcterms:modified xsi:type="dcterms:W3CDTF">2023-10-10T05:59:00Z</dcterms:modified>
</cp:coreProperties>
</file>